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</w:t>
      </w:r>
      <w:r/>
    </w:p>
    <w:p>
      <w:pPr>
        <w:pStyle w:val="6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деятельности Контрольно-счётной комиссии Балтайского муниципального района</w:t>
      </w:r>
      <w:r/>
    </w:p>
    <w:p>
      <w:pPr>
        <w:pStyle w:val="64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</w:r>
      <w:r/>
    </w:p>
    <w:p>
      <w:pPr>
        <w:pStyle w:val="64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</w:r>
      <w:r/>
    </w:p>
    <w:p>
      <w:pPr>
        <w:pStyle w:val="64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1</w:t>
      </w:r>
      <w:r>
        <w:rPr>
          <w:b w:val="0"/>
          <w:bCs w:val="0"/>
          <w:color w:val="000000"/>
        </w:rPr>
        <w:t xml:space="preserve">4.04.202</w:t>
      </w:r>
      <w:r>
        <w:rPr>
          <w:b w:val="0"/>
          <w:bCs w:val="0"/>
          <w:color w:val="000000"/>
        </w:rPr>
        <w:t xml:space="preserve">3</w:t>
      </w:r>
      <w:r>
        <w:rPr>
          <w:b w:val="0"/>
          <w:bCs w:val="0"/>
        </w:rPr>
      </w:r>
    </w:p>
    <w:p>
      <w:pPr>
        <w:pStyle w:val="6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40"/>
        <w:ind w:left="0" w:right="0" w:firstLine="684"/>
        <w:jc w:val="both"/>
        <w:tabs>
          <w:tab w:val="left" w:pos="7545" w:leader="none"/>
        </w:tabs>
      </w:pPr>
      <w:r>
        <w:rPr>
          <w:rFonts w:cs="Times New Roman"/>
          <w:color w:val="000000"/>
          <w:sz w:val="28"/>
          <w:szCs w:val="28"/>
        </w:rPr>
        <w:t xml:space="preserve">В соответствии со статьей 264.4 Бюджетного кодекса </w:t>
      </w:r>
      <w:r>
        <w:rPr>
          <w:color w:val="000000"/>
          <w:sz w:val="28"/>
          <w:szCs w:val="28"/>
        </w:rPr>
        <w:t xml:space="preserve">Российской Федерации</w:t>
      </w:r>
      <w:r>
        <w:rPr>
          <w:rFonts w:cs="Times New Roman"/>
          <w:color w:val="000000"/>
          <w:sz w:val="28"/>
          <w:szCs w:val="28"/>
        </w:rPr>
        <w:t xml:space="preserve"> на основании плана работы на 2023 год Контрольно-счётной комиссией Балтайского муниципального района проведена внешняя проверка бюджетной отчётности администрации Большеозёрского муниципального образования (далее по тексту – администрация) за 2022 год.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03"/>
        <w:ind w:left="0" w:right="0" w:firstLine="741"/>
        <w:jc w:val="both"/>
        <w:widowControl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представления годовой бюджетной отчётности  администрации в соответствии с п.10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приказом </w:t>
      </w:r>
      <w:bookmarkStart w:id="0" w:name="undefined"/>
      <w:r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финансов Российской Федерации от 28 декабря 2010 г. № 191н (далее по тексту – Инструкция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191н) был установлен приказом финансового управления администрации Балтайского муниципального района (далее по тексту – финансовое управление)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 30.12.202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 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33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порядке составления и сроках представления в финансовое управление администрации Балтайского муниципального района Саратовской области годовой бюджетной отчетности об и</w:t>
      </w:r>
      <w:r>
        <w:rPr>
          <w:rFonts w:ascii="Times New Roman" w:hAnsi="Times New Roman" w:cs="Times New Roman"/>
          <w:sz w:val="28"/>
          <w:szCs w:val="28"/>
        </w:rPr>
        <w:t xml:space="preserve">сполнении местного бюджета главных распорядителей, получателей средств местного бюджета, главных администраторов доходов и источников финансирования дефицита местного бюджета и сводной бухгалтерской отчетности муниципальных бюджетных учреждений за 2022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следующие сроки: дата предоставления годовой отчетности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17.01.2023, дата сдачи отчетности – 26.01.2023.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40"/>
        <w:ind w:left="0" w:right="0"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При проведении проверки установлено: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03"/>
        <w:ind w:left="0" w:right="0" w:firstLine="74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Бюджетная отчётность представлена в установленные сроки, в сброшюрованном и пронумерованном виде, с оглавлением и сопроводительным письмом, за подписями руководителя и главного бухгалтера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дминистрации. Также представлен Контрольный лист о результатах проверки и рассмотрения годовой бюджетной отчетности об исполнении местного бюджета главных распорядителей, получателей средств местного бюджета, главных администраторов доходов и источников фи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нансирования дефицита местного бюджета за 2022 год администрации с подписями должностных лиц и утверждённый руководителем финансового управления о подтверждении представления отчётности в установленные сроки и отсутствии замечаний при проверке отчётности.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03"/>
        <w:ind w:left="0" w:right="0" w:firstLine="74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Состав бюджетной отчётности соответствует формам отчётов предусмотренных Инструкцией № 191н и включает следующие формы: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40"/>
        <w:ind w:left="0" w:right="0"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– Баланс </w:t>
      </w:r>
      <w:bookmarkStart w:id="0" w:name="undefined"/>
      <w:r/>
      <w:bookmarkEnd w:id="0"/>
      <w:r>
        <w:rPr>
          <w:rFonts w:cs="Times New Roman"/>
          <w:color w:val="000000"/>
          <w:sz w:val="28"/>
          <w:szCs w:val="28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>
        <w:rPr>
          <w:rFonts w:cs="Times New Roman"/>
          <w:b/>
          <w:color w:val="000000"/>
          <w:sz w:val="28"/>
          <w:szCs w:val="28"/>
        </w:rPr>
        <w:t xml:space="preserve">(</w:t>
      </w:r>
      <w:r>
        <w:fldChar w:fldCharType="begin"/>
      </w:r>
      <w:r>
        <w:instrText xml:space="preserve"> HYPERLINK  \l "sub_503130"</w:instrText>
      </w:r>
      <w:r>
        <w:fldChar w:fldCharType="separate"/>
      </w:r>
      <w:r>
        <w:rPr>
          <w:rStyle w:val="1_887"/>
          <w:rFonts w:cs="Times New Roman"/>
          <w:bCs/>
          <w:color w:val="000000"/>
          <w:sz w:val="28"/>
          <w:szCs w:val="28"/>
          <w:u w:val="none"/>
        </w:rPr>
        <w:t xml:space="preserve">ф. 0503130</w:t>
      </w:r>
      <w:r>
        <w:fldChar w:fldCharType="end"/>
      </w:r>
      <w:r>
        <w:rPr>
          <w:rFonts w:cs="Times New Roman"/>
          <w:b/>
          <w:color w:val="000000"/>
          <w:sz w:val="28"/>
          <w:szCs w:val="28"/>
        </w:rPr>
        <w:t xml:space="preserve">);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40"/>
        <w:ind w:left="0" w:right="0"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– Справка по консолидируемым расчетам </w:t>
      </w:r>
      <w:r>
        <w:rPr>
          <w:rFonts w:cs="Times New Roman"/>
          <w:b/>
          <w:color w:val="000000"/>
          <w:sz w:val="28"/>
          <w:szCs w:val="28"/>
        </w:rPr>
        <w:t xml:space="preserve">(</w:t>
      </w:r>
      <w:r>
        <w:fldChar w:fldCharType="begin"/>
      </w:r>
      <w:r>
        <w:instrText xml:space="preserve"> HYPERLINK  \l "sub_503125"</w:instrText>
      </w:r>
      <w:r>
        <w:fldChar w:fldCharType="separate"/>
      </w:r>
      <w:r>
        <w:rPr>
          <w:rStyle w:val="1_887"/>
          <w:rFonts w:cs="Times New Roman"/>
          <w:bCs/>
          <w:color w:val="000000"/>
          <w:sz w:val="28"/>
          <w:szCs w:val="28"/>
          <w:u w:val="none"/>
        </w:rPr>
        <w:t xml:space="preserve">ф. 0503125</w:t>
      </w:r>
      <w:r>
        <w:fldChar w:fldCharType="end"/>
      </w:r>
      <w:r>
        <w:rPr>
          <w:rFonts w:cs="Times New Roman"/>
          <w:b/>
          <w:color w:val="000000"/>
          <w:sz w:val="28"/>
          <w:szCs w:val="28"/>
        </w:rPr>
        <w:t xml:space="preserve">)</w:t>
      </w:r>
      <w:r>
        <w:rPr>
          <w:rFonts w:cs="Times New Roman"/>
          <w:color w:val="000000"/>
          <w:sz w:val="28"/>
          <w:szCs w:val="28"/>
        </w:rPr>
        <w:t xml:space="preserve">;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40"/>
        <w:ind w:left="0" w:right="0"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– Справка по заключению счетов бюджетного учета отчетного финансового года (</w:t>
      </w:r>
      <w:r>
        <w:fldChar w:fldCharType="begin"/>
      </w:r>
      <w:r>
        <w:instrText xml:space="preserve"> HYPERLINK  \l "sub_503110"</w:instrText>
      </w:r>
      <w:r>
        <w:fldChar w:fldCharType="separate"/>
      </w:r>
      <w:r>
        <w:rPr>
          <w:rStyle w:val="1_887"/>
          <w:rFonts w:cs="Times New Roman"/>
          <w:bCs/>
          <w:color w:val="000000"/>
          <w:sz w:val="28"/>
          <w:szCs w:val="28"/>
          <w:u w:val="none"/>
        </w:rPr>
        <w:t xml:space="preserve">ф. 0503110</w:t>
      </w:r>
      <w:r>
        <w:fldChar w:fldCharType="end"/>
      </w:r>
      <w:r>
        <w:rPr>
          <w:rFonts w:cs="Times New Roman"/>
          <w:color w:val="000000"/>
          <w:sz w:val="28"/>
          <w:szCs w:val="28"/>
        </w:rPr>
        <w:t xml:space="preserve">);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40"/>
        <w:ind w:left="0" w:right="0"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– 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>
        <w:fldChar w:fldCharType="begin"/>
      </w:r>
      <w:r>
        <w:instrText xml:space="preserve"> HYPERLINK  \l "sub_503127"</w:instrText>
      </w:r>
      <w:r>
        <w:fldChar w:fldCharType="separate"/>
      </w:r>
      <w:r>
        <w:rPr>
          <w:rStyle w:val="1_887"/>
          <w:rFonts w:cs="Times New Roman"/>
          <w:bCs/>
          <w:color w:val="000000"/>
          <w:sz w:val="28"/>
          <w:szCs w:val="28"/>
          <w:u w:val="none"/>
        </w:rPr>
        <w:t xml:space="preserve">ф. 0503127</w:t>
      </w:r>
      <w:r>
        <w:fldChar w:fldCharType="end"/>
      </w:r>
      <w:r>
        <w:rPr>
          <w:rFonts w:cs="Times New Roman"/>
          <w:color w:val="000000"/>
          <w:sz w:val="28"/>
          <w:szCs w:val="28"/>
        </w:rPr>
        <w:t xml:space="preserve">);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40"/>
        <w:ind w:left="0" w:right="0"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– Отчет о принятых бюджетных обязательствах (</w:t>
      </w:r>
      <w:r>
        <w:fldChar w:fldCharType="begin"/>
      </w:r>
      <w:r>
        <w:instrText xml:space="preserve"> HYPERLINK  \l "sub_503128"</w:instrText>
      </w:r>
      <w:r>
        <w:fldChar w:fldCharType="separate"/>
      </w:r>
      <w:r>
        <w:rPr>
          <w:rStyle w:val="1_887"/>
          <w:rFonts w:cs="Times New Roman"/>
          <w:bCs/>
          <w:color w:val="000000"/>
          <w:sz w:val="28"/>
          <w:szCs w:val="28"/>
          <w:u w:val="none"/>
        </w:rPr>
        <w:t xml:space="preserve">ф. 0503128</w:t>
      </w:r>
      <w:r>
        <w:fldChar w:fldCharType="end"/>
      </w:r>
      <w:r>
        <w:rPr>
          <w:rFonts w:cs="Times New Roman"/>
          <w:color w:val="000000"/>
          <w:sz w:val="28"/>
          <w:szCs w:val="28"/>
        </w:rPr>
        <w:t xml:space="preserve">);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40"/>
        <w:ind w:left="0" w:right="0"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– Отчет о финансовых результатах деятельности (</w:t>
      </w:r>
      <w:r>
        <w:fldChar w:fldCharType="begin"/>
      </w:r>
      <w:r>
        <w:instrText xml:space="preserve"> HYPERLINK  \l "sub_503121"</w:instrText>
      </w:r>
      <w:r>
        <w:fldChar w:fldCharType="separate"/>
      </w:r>
      <w:r>
        <w:rPr>
          <w:rStyle w:val="1_887"/>
          <w:rFonts w:cs="Times New Roman"/>
          <w:bCs/>
          <w:color w:val="000000"/>
          <w:sz w:val="28"/>
          <w:szCs w:val="28"/>
          <w:u w:val="none"/>
        </w:rPr>
        <w:t xml:space="preserve">ф. 0503121</w:t>
      </w:r>
      <w:r>
        <w:fldChar w:fldCharType="end"/>
      </w:r>
      <w:r>
        <w:rPr>
          <w:rFonts w:cs="Times New Roman"/>
          <w:color w:val="000000"/>
          <w:sz w:val="28"/>
          <w:szCs w:val="28"/>
        </w:rPr>
        <w:t xml:space="preserve">);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40"/>
        <w:ind w:left="0" w:right="0"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– Отчет о движении денежных средств (ф.0503123);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40"/>
        <w:ind w:left="0" w:right="0"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– Пояснительная записка </w:t>
      </w:r>
      <w:bookmarkStart w:id="0" w:name="undefined"/>
      <w:r/>
      <w:bookmarkEnd w:id="0"/>
      <w:r>
        <w:rPr>
          <w:rFonts w:cs="Times New Roman"/>
          <w:color w:val="000000"/>
          <w:sz w:val="28"/>
          <w:szCs w:val="28"/>
        </w:rPr>
        <w:t xml:space="preserve">(</w:t>
      </w:r>
      <w:r>
        <w:fldChar w:fldCharType="begin"/>
      </w:r>
      <w:r>
        <w:instrText xml:space="preserve"> HYPERLINK  \l "sub_503160"</w:instrText>
      </w:r>
      <w:r>
        <w:fldChar w:fldCharType="separate"/>
      </w:r>
      <w:r>
        <w:rPr>
          <w:rStyle w:val="1_887"/>
          <w:rFonts w:cs="Times New Roman"/>
          <w:bCs/>
          <w:color w:val="000000"/>
          <w:sz w:val="28"/>
          <w:szCs w:val="28"/>
          <w:u w:val="none"/>
        </w:rPr>
        <w:t xml:space="preserve">ф. 0503160</w:t>
      </w:r>
      <w:r>
        <w:fldChar w:fldCharType="end"/>
      </w:r>
      <w:r>
        <w:rPr>
          <w:rFonts w:cs="Times New Roman"/>
          <w:color w:val="000000"/>
          <w:sz w:val="28"/>
          <w:szCs w:val="28"/>
        </w:rPr>
        <w:t xml:space="preserve">).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40"/>
        <w:ind w:left="0" w:right="0" w:firstLine="741"/>
        <w:jc w:val="both"/>
      </w:pPr>
      <w:r>
        <w:rPr>
          <w:rFonts w:cs="Times New Roman"/>
          <w:color w:val="000000"/>
          <w:sz w:val="28"/>
          <w:szCs w:val="28"/>
        </w:rPr>
        <w:t xml:space="preserve">В соответствии с п. 8 Инструкции № 191н в Пояснительной записке   (ф. 0503160) отражена информация о не составленных формах бюджетной отчётности, в которых все показатели не имеют числовых значений.</w:t>
      </w:r>
      <w:r>
        <w:rPr>
          <w:bCs/>
          <w:color w:val="000000"/>
          <w:sz w:val="28"/>
          <w:szCs w:val="28"/>
        </w:rPr>
      </w:r>
      <w:r/>
    </w:p>
    <w:p>
      <w:pPr>
        <w:pStyle w:val="640"/>
        <w:ind w:left="0" w:right="0" w:firstLine="741"/>
        <w:jc w:val="both"/>
      </w:pPr>
      <w:r>
        <w:rPr>
          <w:bCs/>
          <w:color w:val="000000"/>
          <w:sz w:val="28"/>
          <w:szCs w:val="28"/>
        </w:rPr>
        <w:t xml:space="preserve">3.</w:t>
      </w:r>
      <w:r>
        <w:rPr>
          <w:bCs/>
          <w:color w:val="000000"/>
        </w:rPr>
        <w:t xml:space="preserve"> </w:t>
      </w:r>
      <w:r>
        <w:rPr>
          <w:color w:val="000000"/>
          <w:sz w:val="28"/>
          <w:szCs w:val="28"/>
        </w:rPr>
        <w:t xml:space="preserve">Бюджетная отчетность в соответствии с п.</w:t>
      </w:r>
      <w:r>
        <w:rPr>
          <w:color w:val="000000"/>
          <w:sz w:val="28"/>
          <w:szCs w:val="28"/>
          <w:lang w:val="en-US"/>
        </w:rPr>
        <w:t xml:space="preserve"> </w:t>
      </w:r>
      <w:r>
        <w:rPr>
          <w:color w:val="000000"/>
          <w:sz w:val="28"/>
          <w:szCs w:val="28"/>
        </w:rPr>
        <w:t xml:space="preserve">9 Инструкции №</w:t>
      </w:r>
      <w:r>
        <w:rPr>
          <w:color w:val="000000"/>
          <w:sz w:val="28"/>
          <w:szCs w:val="28"/>
          <w:lang w:val="en-US"/>
        </w:rPr>
        <w:t xml:space="preserve"> </w:t>
      </w:r>
      <w:r>
        <w:rPr>
          <w:color w:val="000000"/>
          <w:sz w:val="28"/>
          <w:szCs w:val="28"/>
        </w:rPr>
        <w:t xml:space="preserve">191н составлена нарастающим итогом с начала года в рублях с точностью до второго десятичного знака после запятой.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40"/>
        <w:ind w:left="0" w:right="0" w:firstLine="709"/>
        <w:jc w:val="both"/>
        <w:tabs>
          <w:tab w:val="left" w:pos="360" w:leader="none"/>
          <w:tab w:val="left" w:pos="1080" w:leader="none"/>
        </w:tabs>
      </w:pPr>
      <w:r>
        <w:rPr>
          <w:rFonts w:cs="Times New Roman"/>
          <w:color w:val="000000"/>
          <w:sz w:val="28"/>
          <w:szCs w:val="28"/>
        </w:rPr>
        <w:t xml:space="preserve">4. При сопоставлении данных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</w:t>
      </w:r>
      <w:r>
        <w:rPr>
          <w:rFonts w:cs="Times New Roman"/>
          <w:color w:val="000000"/>
          <w:sz w:val="28"/>
          <w:szCs w:val="28"/>
        </w:rPr>
        <w:t xml:space="preserve">ета, главного администратора, администратора доходов бюджета (ф.0503130) на конец предшествующего проверяемому периоду и на начало отчётного периода установлено, что  показатели по счетам корректно перенесены из предыдущего периода и не содержат искажений.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40"/>
        <w:ind w:left="0" w:right="0" w:firstLine="735"/>
        <w:jc w:val="both"/>
      </w:pPr>
      <w:r>
        <w:rPr>
          <w:rFonts w:cs="Times New Roman"/>
          <w:color w:val="000000"/>
          <w:sz w:val="28"/>
          <w:szCs w:val="28"/>
        </w:rPr>
        <w:t xml:space="preserve">Несоответствие показателей между формами и внутренних противоречий форм бюджетной отчётности не установлено.</w:t>
      </w:r>
      <w:r>
        <w:rPr>
          <w:rFonts w:ascii="Times New Roman" w:hAnsi="Times New Roman" w:cs="Times New Roman"/>
          <w:color w:val="0000ff"/>
        </w:rPr>
      </w:r>
      <w:r/>
    </w:p>
    <w:p>
      <w:pPr>
        <w:pStyle w:val="705"/>
        <w:jc w:val="both"/>
        <w:tabs>
          <w:tab w:val="left" w:pos="741" w:leader="none"/>
          <w:tab w:val="left" w:pos="3933" w:leader="none"/>
          <w:tab w:val="left" w:pos="5244" w:leader="none"/>
        </w:tabs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  января </w:t>
      </w:r>
      <w:r>
        <w:rPr>
          <w:rFonts w:ascii="Times New Roman" w:hAnsi="Times New Roman" w:cs="Times New Roman"/>
          <w:sz w:val="28"/>
          <w:szCs w:val="28"/>
        </w:rPr>
        <w:t xml:space="preserve">2023  года сложилась дебиторская задолженность в сумме 7275,3  тыс. руб., в том числе просроченная дебиторская задолженность в сумме 1689,6  тыс. руб., кредиторская задолженность составляет 707,5 тыс. руб., просроченная кредиторская задолженность отсутствует.</w:t>
      </w:r>
      <w:r>
        <w:rPr>
          <w:rFonts w:cs="Times New Roman"/>
          <w:b/>
          <w:color w:val="0000ff"/>
          <w:sz w:val="26"/>
          <w:szCs w:val="26"/>
        </w:rPr>
      </w:r>
      <w:r/>
    </w:p>
    <w:p>
      <w:pPr>
        <w:pStyle w:val="705"/>
        <w:jc w:val="both"/>
        <w:tabs>
          <w:tab w:val="left" w:pos="741" w:leader="none"/>
          <w:tab w:val="left" w:pos="3933" w:leader="none"/>
          <w:tab w:val="left" w:pos="5244" w:leader="none"/>
        </w:tabs>
        <w:rPr>
          <w:rFonts w:cs="Times New Roman"/>
          <w:b/>
          <w:color w:val="0000ff"/>
          <w:sz w:val="26"/>
          <w:szCs w:val="26"/>
        </w:rPr>
      </w:pPr>
      <w:r>
        <w:rPr>
          <w:rFonts w:cs="Times New Roman"/>
          <w:b/>
          <w:color w:val="0000ff"/>
          <w:sz w:val="26"/>
          <w:szCs w:val="26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567" w:right="850" w:bottom="1134" w:left="1701" w:header="720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Lucida Sans Unicode">
    <w:panose1 w:val="020B0602030504020204"/>
  </w:font>
  <w:font w:name="Mangal">
    <w:panose1 w:val="02040503050203030202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  <w:ind w:right="360"/>
      <w:tabs>
        <w:tab w:val="right" w:pos="8710" w:leader="none"/>
        <w:tab w:val="clear" w:pos="9070" w:leader="none"/>
      </w:tabs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357505" cy="170180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35750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04"/>
                          </w:pPr>
                          <w:r>
                            <w:fldChar w:fldCharType="begin"/>
                          </w:r>
                          <w:r>
                            <w:instrText xml:space="preserve"> PAGE \*Arabic </w:instrText>
                          </w:r>
                          <w:r>
                            <w:fldChar w:fldCharType="separate"/>
                          </w:r>
                          <w:r>
                            <w:t xml:space="preserve">2</w:t>
                          </w:r>
                          <w:r>
                            <w:fldChar w:fldCharType="end"/>
                          </w:r>
                          <w:r/>
                        </w:p>
                        <w:p>
                          <w:pPr>
                            <w:pStyle w:val="640"/>
                          </w:pPr>
                          <w:r/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524288;o:allowoverlap:true;o:allowincell:true;mso-position-horizontal-relative:page;margin-left:532.5pt;mso-position-horizontal:absolute;mso-position-vertical-relative:text;margin-top:0.0pt;mso-position-vertical:absolute;width:28.1pt;height:13.4pt;mso-wrap-distance-left:0.0pt;mso-wrap-distance-top:0.0pt;mso-wrap-distance-right:0.0pt;mso-wrap-distance-bottom:0.0pt;visibility:visible;" fillcolor="#FFFFFF" stroked="f">
              <v:fill opacity="100f"/>
              <w10:wrap type="square"/>
              <v:textbox inset="0,0,0,0">
                <w:txbxContent>
                  <w:p>
                    <w:pPr>
                      <w:pStyle w:val="704"/>
                    </w:pPr>
                    <w:r>
                      <w:fldChar w:fldCharType="begin"/>
                    </w:r>
                    <w:r>
                      <w:instrText xml:space="preserve"> PAGE \*Arabic </w:instrText>
                    </w:r>
                    <w:r>
                      <w:fldChar w:fldCharType="separate"/>
                    </w:r>
                    <w:r>
                      <w:t xml:space="preserve">2</w:t>
                    </w:r>
                    <w:r>
                      <w:fldChar w:fldCharType="end"/>
                    </w:r>
                    <w:r/>
                  </w:p>
                  <w:p>
                    <w:pPr>
                      <w:pStyle w:val="640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41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40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0"/>
        <w:ind w:left="720" w:hanging="360"/>
        <w:tabs>
          <w:tab w:val="num" w:pos="720" w:leader="none"/>
        </w:tabs>
      </w:pPr>
      <w:rPr>
        <w:rFonts w:ascii="Symbol" w:hAnsi="Symbol" w:cs="Open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40"/>
        <w:ind w:left="1080" w:hanging="360"/>
        <w:tabs>
          <w:tab w:val="num" w:pos="1080" w:leader="none"/>
        </w:tabs>
      </w:pPr>
    </w:lvl>
    <w:lvl w:ilvl="2">
      <w:start w:val="5"/>
      <w:numFmt w:val="decimal"/>
      <w:isLgl w:val="false"/>
      <w:suff w:val="tab"/>
      <w:lvlText w:val="%3."/>
      <w:lvlJc w:val="left"/>
      <w:pPr>
        <w:pStyle w:val="640"/>
        <w:ind w:left="1211" w:hanging="360"/>
        <w:tabs>
          <w:tab w:val="num" w:pos="1211" w:leader="none"/>
        </w:tabs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pStyle w:val="640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40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40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0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40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40"/>
        <w:ind w:left="3600" w:hanging="360"/>
        <w:tabs>
          <w:tab w:val="num" w:pos="3600" w:leader="none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40"/>
    <w:next w:val="64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40"/>
    <w:next w:val="64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40"/>
    <w:next w:val="64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40"/>
    <w:next w:val="64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40"/>
    <w:next w:val="64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0"/>
    <w:next w:val="64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40"/>
    <w:next w:val="64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0"/>
    <w:next w:val="64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0"/>
    <w:next w:val="64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4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40"/>
    <w:next w:val="64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40"/>
    <w:next w:val="64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40"/>
    <w:next w:val="64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0"/>
    <w:next w:val="64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4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4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40"/>
    <w:next w:val="6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4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4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0"/>
    <w:next w:val="640"/>
    <w:uiPriority w:val="99"/>
    <w:unhideWhenUsed/>
    <w:pPr>
      <w:spacing w:after="0" w:afterAutospacing="0"/>
    </w:pPr>
  </w:style>
  <w:style w:type="paragraph" w:styleId="640" w:default="1">
    <w:name w:val="Normal"/>
    <w:next w:val="640"/>
    <w:link w:val="640"/>
    <w:qFormat/>
    <w:rPr>
      <w:color w:val="000000"/>
      <w:sz w:val="24"/>
      <w:szCs w:val="24"/>
      <w:lang w:val="ru-RU" w:eastAsia="ar-SA" w:bidi="ar-SA"/>
    </w:rPr>
  </w:style>
  <w:style w:type="paragraph" w:styleId="641">
    <w:name w:val="Заголовок 1"/>
    <w:basedOn w:val="640"/>
    <w:next w:val="640"/>
    <w:link w:val="640"/>
    <w:qFormat/>
    <w:pPr>
      <w:numPr>
        <w:ilvl w:val="0"/>
        <w:numId w:val="1"/>
      </w:numPr>
      <w:ind w:left="432" w:right="0" w:hanging="432"/>
      <w:jc w:val="center"/>
      <w:spacing w:before="108" w:after="108"/>
      <w:widowControl w:val="off"/>
      <w:tabs>
        <w:tab w:val="left" w:pos="432" w:leader="none"/>
      </w:tabs>
      <w:outlineLvl w:val="0"/>
    </w:pPr>
    <w:rPr>
      <w:rFonts w:ascii="Arial" w:hAnsi="Arial" w:cs="Arial"/>
      <w:b/>
      <w:sz w:val="26"/>
      <w:szCs w:val="26"/>
    </w:rPr>
  </w:style>
  <w:style w:type="paragraph" w:styleId="642">
    <w:name w:val="Заголовок 2"/>
    <w:basedOn w:val="641"/>
    <w:next w:val="640"/>
    <w:link w:val="640"/>
    <w:qFormat/>
    <w:pPr>
      <w:numPr>
        <w:ilvl w:val="0"/>
        <w:numId w:val="0"/>
      </w:numPr>
      <w:ind w:left="0" w:right="0" w:firstLine="0"/>
      <w:jc w:val="left"/>
      <w:keepLines/>
      <w:keepNext/>
      <w:spacing w:before="240" w:after="60"/>
      <w:tabs>
        <w:tab w:val="clear" w:pos="432" w:leader="none"/>
      </w:tabs>
    </w:pPr>
    <w:rPr>
      <w:sz w:val="32"/>
      <w:szCs w:val="32"/>
    </w:rPr>
  </w:style>
  <w:style w:type="paragraph" w:styleId="643">
    <w:name w:val="Заголовок 3"/>
    <w:basedOn w:val="642"/>
    <w:next w:val="640"/>
    <w:link w:val="640"/>
    <w:qFormat/>
    <w:rPr>
      <w:sz w:val="28"/>
      <w:szCs w:val="28"/>
    </w:rPr>
  </w:style>
  <w:style w:type="character" w:styleId="644">
    <w:name w:val="Основной шрифт абзаца"/>
    <w:next w:val="644"/>
    <w:link w:val="640"/>
    <w:semiHidden/>
  </w:style>
  <w:style w:type="table" w:styleId="645">
    <w:name w:val="Обычная таблица"/>
    <w:next w:val="645"/>
    <w:link w:val="640"/>
    <w:semiHidden/>
    <w:tblPr/>
  </w:style>
  <w:style w:type="numbering" w:styleId="646">
    <w:name w:val="Нет списка"/>
    <w:next w:val="646"/>
    <w:link w:val="640"/>
    <w:semiHidden/>
  </w:style>
  <w:style w:type="character" w:styleId="647">
    <w:name w:val="WW8Num1z0"/>
    <w:next w:val="647"/>
    <w:link w:val="640"/>
  </w:style>
  <w:style w:type="character" w:styleId="648">
    <w:name w:val="WW8Num1z1"/>
    <w:next w:val="648"/>
    <w:link w:val="640"/>
  </w:style>
  <w:style w:type="character" w:styleId="649">
    <w:name w:val="WW8Num1z2"/>
    <w:next w:val="649"/>
    <w:link w:val="640"/>
  </w:style>
  <w:style w:type="character" w:styleId="650">
    <w:name w:val="WW8Num1z3"/>
    <w:next w:val="650"/>
    <w:link w:val="640"/>
  </w:style>
  <w:style w:type="character" w:styleId="651">
    <w:name w:val="WW8Num1z4"/>
    <w:next w:val="651"/>
    <w:link w:val="640"/>
  </w:style>
  <w:style w:type="character" w:styleId="652">
    <w:name w:val="WW8Num1z5"/>
    <w:next w:val="652"/>
    <w:link w:val="640"/>
  </w:style>
  <w:style w:type="character" w:styleId="653">
    <w:name w:val="WW8Num1z6"/>
    <w:next w:val="653"/>
    <w:link w:val="640"/>
  </w:style>
  <w:style w:type="character" w:styleId="654">
    <w:name w:val="WW8Num1z7"/>
    <w:next w:val="654"/>
    <w:link w:val="640"/>
  </w:style>
  <w:style w:type="character" w:styleId="655">
    <w:name w:val="WW8Num1z8"/>
    <w:next w:val="655"/>
    <w:link w:val="640"/>
  </w:style>
  <w:style w:type="character" w:styleId="656">
    <w:name w:val="WW8Num2z0"/>
    <w:next w:val="656"/>
    <w:link w:val="640"/>
  </w:style>
  <w:style w:type="character" w:styleId="657">
    <w:name w:val="WW8Num2z1"/>
    <w:next w:val="657"/>
    <w:link w:val="640"/>
  </w:style>
  <w:style w:type="character" w:styleId="658">
    <w:name w:val="WW8Num2z2"/>
    <w:next w:val="658"/>
    <w:link w:val="640"/>
  </w:style>
  <w:style w:type="character" w:styleId="659">
    <w:name w:val="WW8Num2z3"/>
    <w:next w:val="659"/>
    <w:link w:val="640"/>
  </w:style>
  <w:style w:type="character" w:styleId="660">
    <w:name w:val="WW8Num2z4"/>
    <w:next w:val="660"/>
    <w:link w:val="640"/>
  </w:style>
  <w:style w:type="character" w:styleId="661">
    <w:name w:val="WW8Num2z5"/>
    <w:next w:val="661"/>
    <w:link w:val="640"/>
  </w:style>
  <w:style w:type="character" w:styleId="662">
    <w:name w:val="WW8Num2z6"/>
    <w:next w:val="662"/>
    <w:link w:val="640"/>
  </w:style>
  <w:style w:type="character" w:styleId="663">
    <w:name w:val="WW8Num2z7"/>
    <w:next w:val="663"/>
    <w:link w:val="640"/>
  </w:style>
  <w:style w:type="character" w:styleId="664">
    <w:name w:val="WW8Num2z8"/>
    <w:next w:val="664"/>
    <w:link w:val="640"/>
  </w:style>
  <w:style w:type="character" w:styleId="665">
    <w:name w:val="WW8Num3z0"/>
    <w:next w:val="665"/>
    <w:link w:val="640"/>
  </w:style>
  <w:style w:type="character" w:styleId="666">
    <w:name w:val="WW8Num3z1"/>
    <w:next w:val="666"/>
    <w:link w:val="640"/>
  </w:style>
  <w:style w:type="character" w:styleId="667">
    <w:name w:val="WW8Num3z2"/>
    <w:next w:val="667"/>
    <w:link w:val="640"/>
  </w:style>
  <w:style w:type="character" w:styleId="668">
    <w:name w:val="WW8Num3z3"/>
    <w:next w:val="668"/>
    <w:link w:val="640"/>
  </w:style>
  <w:style w:type="character" w:styleId="669">
    <w:name w:val="WW8Num3z4"/>
    <w:next w:val="669"/>
    <w:link w:val="640"/>
  </w:style>
  <w:style w:type="character" w:styleId="670">
    <w:name w:val="WW8Num3z5"/>
    <w:next w:val="670"/>
    <w:link w:val="640"/>
  </w:style>
  <w:style w:type="character" w:styleId="671">
    <w:name w:val="WW8Num3z6"/>
    <w:next w:val="671"/>
    <w:link w:val="640"/>
  </w:style>
  <w:style w:type="character" w:styleId="672">
    <w:name w:val="WW8Num3z7"/>
    <w:next w:val="672"/>
    <w:link w:val="640"/>
  </w:style>
  <w:style w:type="character" w:styleId="673">
    <w:name w:val="WW8Num3z8"/>
    <w:next w:val="673"/>
    <w:link w:val="640"/>
  </w:style>
  <w:style w:type="character" w:styleId="674">
    <w:name w:val="WW8Num4z0"/>
    <w:next w:val="674"/>
    <w:link w:val="640"/>
  </w:style>
  <w:style w:type="character" w:styleId="675">
    <w:name w:val="WW8Num4z1"/>
    <w:next w:val="675"/>
    <w:link w:val="640"/>
  </w:style>
  <w:style w:type="character" w:styleId="676">
    <w:name w:val="WW8Num4z2"/>
    <w:next w:val="676"/>
    <w:link w:val="640"/>
  </w:style>
  <w:style w:type="character" w:styleId="677">
    <w:name w:val="WW8Num4z3"/>
    <w:next w:val="677"/>
    <w:link w:val="640"/>
  </w:style>
  <w:style w:type="character" w:styleId="678">
    <w:name w:val="WW8Num4z4"/>
    <w:next w:val="678"/>
    <w:link w:val="640"/>
  </w:style>
  <w:style w:type="character" w:styleId="679">
    <w:name w:val="WW8Num4z5"/>
    <w:next w:val="679"/>
    <w:link w:val="640"/>
  </w:style>
  <w:style w:type="character" w:styleId="680">
    <w:name w:val="WW8Num4z6"/>
    <w:next w:val="680"/>
    <w:link w:val="640"/>
  </w:style>
  <w:style w:type="character" w:styleId="681">
    <w:name w:val="WW8Num4z7"/>
    <w:next w:val="681"/>
    <w:link w:val="640"/>
  </w:style>
  <w:style w:type="character" w:styleId="682">
    <w:name w:val="WW8Num4z8"/>
    <w:next w:val="682"/>
    <w:link w:val="640"/>
  </w:style>
  <w:style w:type="character" w:styleId="683">
    <w:name w:val="WW8Num5z0"/>
    <w:next w:val="683"/>
    <w:link w:val="640"/>
  </w:style>
  <w:style w:type="character" w:styleId="684">
    <w:name w:val="WW8Num5z1"/>
    <w:next w:val="684"/>
    <w:link w:val="640"/>
  </w:style>
  <w:style w:type="character" w:styleId="685">
    <w:name w:val="WW8Num5z2"/>
    <w:next w:val="685"/>
    <w:link w:val="640"/>
  </w:style>
  <w:style w:type="character" w:styleId="686">
    <w:name w:val="WW8Num5z3"/>
    <w:next w:val="686"/>
    <w:link w:val="640"/>
  </w:style>
  <w:style w:type="character" w:styleId="687">
    <w:name w:val="WW8Num5z4"/>
    <w:next w:val="687"/>
    <w:link w:val="640"/>
  </w:style>
  <w:style w:type="character" w:styleId="688">
    <w:name w:val="WW8Num5z5"/>
    <w:next w:val="688"/>
    <w:link w:val="640"/>
  </w:style>
  <w:style w:type="character" w:styleId="689">
    <w:name w:val="WW8Num5z6"/>
    <w:next w:val="689"/>
    <w:link w:val="640"/>
  </w:style>
  <w:style w:type="character" w:styleId="690">
    <w:name w:val="WW8Num5z7"/>
    <w:next w:val="690"/>
    <w:link w:val="640"/>
  </w:style>
  <w:style w:type="character" w:styleId="691">
    <w:name w:val="WW8Num5z8"/>
    <w:next w:val="691"/>
    <w:link w:val="640"/>
  </w:style>
  <w:style w:type="character" w:styleId="692">
    <w:name w:val="Основной шрифт абзаца1"/>
    <w:next w:val="692"/>
    <w:link w:val="640"/>
  </w:style>
  <w:style w:type="character" w:styleId="693">
    <w:name w:val="Гипертекстовая ссылка"/>
    <w:basedOn w:val="692"/>
    <w:next w:val="693"/>
    <w:link w:val="640"/>
    <w:rPr>
      <w:b/>
      <w:bCs w:val="0"/>
      <w:color w:val="007f00"/>
    </w:rPr>
  </w:style>
  <w:style w:type="character" w:styleId="694">
    <w:name w:val="Гиперссылка"/>
    <w:next w:val="694"/>
    <w:link w:val="640"/>
    <w:rPr>
      <w:color w:val="000080"/>
      <w:u w:val="single"/>
      <w:lang w:val="en-US" w:eastAsia="en-US" w:bidi="en-US"/>
    </w:rPr>
  </w:style>
  <w:style w:type="paragraph" w:styleId="695">
    <w:name w:val="Заголовок"/>
    <w:basedOn w:val="640"/>
    <w:next w:val="696"/>
    <w:link w:val="64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696">
    <w:name w:val="Основной текст"/>
    <w:basedOn w:val="640"/>
    <w:next w:val="696"/>
    <w:link w:val="640"/>
    <w:pPr>
      <w:spacing w:before="0" w:after="120"/>
    </w:pPr>
  </w:style>
  <w:style w:type="paragraph" w:styleId="697">
    <w:name w:val="Список"/>
    <w:basedOn w:val="696"/>
    <w:next w:val="697"/>
    <w:link w:val="640"/>
    <w:rPr>
      <w:rFonts w:cs="Mangal"/>
    </w:rPr>
  </w:style>
  <w:style w:type="paragraph" w:styleId="698">
    <w:name w:val="Название1"/>
    <w:basedOn w:val="640"/>
    <w:next w:val="698"/>
    <w:link w:val="64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99">
    <w:name w:val="Указатель1"/>
    <w:basedOn w:val="640"/>
    <w:next w:val="699"/>
    <w:link w:val="640"/>
    <w:pPr>
      <w:suppressLineNumbers/>
    </w:pPr>
    <w:rPr>
      <w:rFonts w:cs="Mangal"/>
    </w:rPr>
  </w:style>
  <w:style w:type="paragraph" w:styleId="700">
    <w:name w:val="Название*"/>
    <w:basedOn w:val="640"/>
    <w:next w:val="700"/>
    <w:link w:val="640"/>
    <w:pPr>
      <w:spacing w:before="120" w:after="120"/>
    </w:pPr>
    <w:rPr>
      <w:rFonts w:cs="Mangal"/>
      <w:i/>
    </w:rPr>
  </w:style>
  <w:style w:type="paragraph" w:styleId="701">
    <w:name w:val="Указатель*"/>
    <w:basedOn w:val="640"/>
    <w:next w:val="701"/>
    <w:link w:val="640"/>
    <w:rPr>
      <w:rFonts w:cs="Mangal"/>
    </w:rPr>
  </w:style>
  <w:style w:type="paragraph" w:styleId="702">
    <w:name w:val="ConsPlusTitle"/>
    <w:next w:val="702"/>
    <w:link w:val="640"/>
    <w:pPr>
      <w:widowControl w:val="off"/>
    </w:pPr>
    <w:rPr>
      <w:rFonts w:ascii="Arial" w:hAnsi="Arial" w:cs="Arial"/>
      <w:b/>
      <w:color w:val="000000"/>
      <w:lang w:val="ru-RU" w:eastAsia="ar-SA" w:bidi="ar-SA"/>
    </w:rPr>
  </w:style>
  <w:style w:type="paragraph" w:styleId="703">
    <w:name w:val="ConsPlusNormal"/>
    <w:next w:val="703"/>
    <w:link w:val="640"/>
    <w:pPr>
      <w:ind w:firstLine="720"/>
      <w:widowControl w:val="off"/>
    </w:pPr>
    <w:rPr>
      <w:rFonts w:ascii="Arial" w:hAnsi="Arial" w:cs="Arial"/>
      <w:color w:val="000000"/>
      <w:lang w:val="ru-RU" w:eastAsia="ar-SA" w:bidi="ar-SA"/>
    </w:rPr>
  </w:style>
  <w:style w:type="paragraph" w:styleId="704">
    <w:name w:val="Нижний колонтитул"/>
    <w:basedOn w:val="640"/>
    <w:next w:val="704"/>
    <w:link w:val="640"/>
    <w:pPr>
      <w:tabs>
        <w:tab w:val="center" w:pos="4677" w:leader="none"/>
        <w:tab w:val="right" w:pos="9070" w:leader="none"/>
      </w:tabs>
    </w:pPr>
  </w:style>
  <w:style w:type="paragraph" w:styleId="705">
    <w:name w:val="ConsPlusNonformat"/>
    <w:next w:val="705"/>
    <w:link w:val="640"/>
    <w:rPr>
      <w:rFonts w:ascii="Courier New" w:hAnsi="Courier New" w:cs="Courier New"/>
      <w:color w:val="000000"/>
      <w:lang w:val="ru-RU" w:eastAsia="ar-SA" w:bidi="ar-SA"/>
    </w:rPr>
  </w:style>
  <w:style w:type="paragraph" w:styleId="706">
    <w:name w:val="Схема документа*"/>
    <w:basedOn w:val="640"/>
    <w:next w:val="706"/>
    <w:link w:val="640"/>
    <w:pPr>
      <w:shd w:val="clear" w:color="auto" w:fill="00007f"/>
    </w:pPr>
    <w:rPr>
      <w:rFonts w:ascii="Tahoma" w:hAnsi="Tahoma" w:cs="Tahoma"/>
      <w:sz w:val="20"/>
      <w:szCs w:val="20"/>
    </w:rPr>
  </w:style>
  <w:style w:type="paragraph" w:styleId="707">
    <w:name w:val="Содержимое врезки"/>
    <w:basedOn w:val="696"/>
    <w:next w:val="707"/>
    <w:link w:val="640"/>
  </w:style>
  <w:style w:type="paragraph" w:styleId="708">
    <w:name w:val="Верхний колонтитул"/>
    <w:basedOn w:val="640"/>
    <w:next w:val="708"/>
    <w:link w:val="640"/>
    <w:pPr>
      <w:tabs>
        <w:tab w:val="center" w:pos="4819" w:leader="none"/>
        <w:tab w:val="right" w:pos="9070" w:leader="none"/>
      </w:tabs>
    </w:pPr>
  </w:style>
  <w:style w:type="character" w:styleId="901" w:default="1">
    <w:name w:val="Default Paragraph Font"/>
    <w:uiPriority w:val="1"/>
    <w:semiHidden/>
    <w:unhideWhenUsed/>
  </w:style>
  <w:style w:type="numbering" w:styleId="902" w:default="1">
    <w:name w:val="No List"/>
    <w:uiPriority w:val="99"/>
    <w:semiHidden/>
    <w:unhideWhenUsed/>
  </w:style>
  <w:style w:type="table" w:styleId="903" w:default="1">
    <w:name w:val="Normal Table"/>
    <w:uiPriority w:val="99"/>
    <w:semiHidden/>
    <w:unhideWhenUsed/>
    <w:tblPr/>
  </w:style>
  <w:style w:type="character" w:styleId="1_887" w:customStyle="1">
    <w:name w:val="Интернет-ссылка"/>
    <w:next w:val="706"/>
    <w:link w:val="679"/>
    <w:rPr>
      <w:color w:val="000080"/>
      <w:u w:val="single"/>
      <w:lang w:val="en-US" w:eastAsia="en-US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MoBIL GROUP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KBAHT SysCD</dc:creator>
  <cp:revision>36</cp:revision>
  <dcterms:created xsi:type="dcterms:W3CDTF">2009-04-02T13:54:00Z</dcterms:created>
  <dcterms:modified xsi:type="dcterms:W3CDTF">2023-05-03T10:47:21Z</dcterms:modified>
  <cp:version>786432</cp:version>
</cp:coreProperties>
</file>