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4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</w:t>
      </w:r>
      <w:r>
        <w:rPr>
          <w:b w:val="0"/>
          <w:bCs w:val="0"/>
          <w:color w:val="000000"/>
        </w:rPr>
        <w:t xml:space="preserve">4.04.202</w:t>
      </w:r>
      <w:r>
        <w:rPr>
          <w:b w:val="0"/>
          <w:bCs w:val="0"/>
          <w:color w:val="000000"/>
        </w:rPr>
        <w:t xml:space="preserve">3</w:t>
      </w:r>
      <w:r>
        <w:rPr>
          <w:b w:val="0"/>
          <w:bCs w:val="0"/>
        </w:rPr>
      </w:r>
    </w:p>
    <w:p>
      <w:pPr>
        <w:pStyle w:val="6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42"/>
        <w:ind w:left="0" w:right="0" w:firstLine="684"/>
        <w:jc w:val="both"/>
      </w:pPr>
      <w:r>
        <w:rPr>
          <w:sz w:val="28"/>
          <w:szCs w:val="28"/>
        </w:rPr>
        <w:t xml:space="preserve">В соответствии со статьей 264.4 Бюджетного кодекса Российской Федерации </w:t>
      </w:r>
      <w:bookmarkStart w:id="0" w:name="undefined"/>
      <w:r>
        <w:rPr>
          <w:sz w:val="28"/>
          <w:szCs w:val="28"/>
        </w:rPr>
        <w:t xml:space="preserve">на основании плана работы на 2023 год </w:t>
      </w:r>
      <w:bookmarkEnd w:id="0"/>
      <w:r>
        <w:rPr>
          <w:sz w:val="28"/>
          <w:szCs w:val="28"/>
        </w:rPr>
        <w:t xml:space="preserve">Контрольно-счётной комиссией Балтайского муниципального района проведена внешняя проверка бюджетной отчётности администрации Барнуковского муниципального образования (далее по тексту – администрация) за 2022 год.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годовой бюджетной отчётности администрации в соответствии с п. 10 Инструкции о порядке составл</w:t>
      </w:r>
      <w:r>
        <w:rPr>
          <w:rFonts w:ascii="Times New Roman" w:hAnsi="Times New Roman" w:cs="Times New Roman"/>
          <w:sz w:val="28"/>
          <w:szCs w:val="28"/>
        </w:rPr>
        <w:t xml:space="preserve">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г. № 191н (далее по тексту – Инструкция № 191н)</w:t>
      </w:r>
      <w:r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установлен приказом финансового управления администрации Балтайского муниципального района (далее по тексту – финансовое управление)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и сроках представления в финансовое управление администрации Балтайского муниципального района Саратовской области годовой бюджетной отчетности об ис</w:t>
      </w:r>
      <w:r>
        <w:rPr>
          <w:rFonts w:ascii="Times New Roman" w:hAnsi="Times New Roman" w:cs="Times New Roman"/>
          <w:sz w:val="28"/>
          <w:szCs w:val="28"/>
        </w:rPr>
        <w:t xml:space="preserve">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следующие сроки: дата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годовой отчетности – 17.01.2023, дата сдачи отчетности – 15.03.2023.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установлено: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администрации. Также представлен </w:t>
      </w:r>
      <w:r>
        <w:rPr>
          <w:rFonts w:ascii="Times New Roman" w:hAnsi="Times New Roman" w:cs="Times New Roman"/>
          <w:sz w:val="28"/>
        </w:rPr>
        <w:t xml:space="preserve">Контрольный лист о результатах проверки и рассмотрения 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</w:t>
      </w:r>
      <w:r>
        <w:rPr>
          <w:rFonts w:ascii="Times New Roman" w:hAnsi="Times New Roman" w:cs="Times New Roman"/>
          <w:sz w:val="28"/>
        </w:rPr>
        <w:t xml:space="preserve">инансирования дефицита местного бюджета за 2022 год администрации с подписями должностных лиц и утверждённый руководителем финансового управления о подтверждении представления отчётности в установленные сроки и отсутствии замечаний при проверке отчётности.</w:t>
      </w:r>
      <w:r>
        <w:rPr>
          <w:sz w:val="20"/>
        </w:rPr>
        <w:t xml:space="preserve"> 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  <w:jc w:val="both"/>
      </w:pPr>
      <w:r>
        <w:rPr>
          <w:sz w:val="28"/>
          <w:szCs w:val="28"/>
        </w:rPr>
        <w:t xml:space="preserve">2.  Состав бюджетной отчётности соответствует формам отчётов предусмотренных Инструкцией № 191н и включает следующие формы: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– 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1_1001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  <w:jc w:val="both"/>
      </w:pPr>
      <w:r>
        <w:rPr>
          <w:sz w:val="28"/>
          <w:szCs w:val="28"/>
        </w:rPr>
        <w:t xml:space="preserve">– Справка по консолидируемым расчетам </w:t>
      </w:r>
      <w:r>
        <w:rPr>
          <w:b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"sub_503125"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 0503125</w:t>
      </w:r>
      <w:r>
        <w:fldChar w:fldCharType="end"/>
      </w:r>
      <w:r>
        <w:rPr>
          <w:b/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  <w:jc w:val="both"/>
      </w:pPr>
      <w:r>
        <w:rPr>
          <w:sz w:val="28"/>
          <w:szCs w:val="28"/>
        </w:rPr>
        <w:t xml:space="preserve">– Справка по заключению счетов бюджетного учета отчетного финансового года (</w:t>
      </w:r>
      <w:r>
        <w:fldChar w:fldCharType="begin"/>
      </w:r>
      <w:r>
        <w:instrText xml:space="preserve"> HYPERLINK  \l "sub_503110"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 0503110</w:t>
      </w:r>
      <w:r>
        <w:fldChar w:fldCharType="end"/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  <w:jc w:val="both"/>
      </w:pPr>
      <w:r>
        <w:rPr>
          <w:sz w:val="28"/>
          <w:szCs w:val="28"/>
        </w:rPr>
        <w:t xml:space="preserve">–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"sub_503127"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 0503127</w:t>
      </w:r>
      <w:r>
        <w:fldChar w:fldCharType="end"/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</w:pPr>
      <w:r>
        <w:rPr>
          <w:sz w:val="28"/>
          <w:szCs w:val="28"/>
        </w:rPr>
        <w:t xml:space="preserve">– Отчет о принятых бюджетных обязательствах (</w:t>
      </w:r>
      <w:r>
        <w:fldChar w:fldCharType="begin"/>
      </w:r>
      <w:r>
        <w:instrText xml:space="preserve"> HYPERLINK  \l "sub_503128"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 0503128</w:t>
      </w:r>
      <w:r>
        <w:fldChar w:fldCharType="end"/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</w:pPr>
      <w:r>
        <w:rPr>
          <w:sz w:val="28"/>
          <w:szCs w:val="28"/>
        </w:rPr>
        <w:t xml:space="preserve">– Отчет о финансовых результатах деятельности (</w:t>
      </w:r>
      <w:r>
        <w:fldChar w:fldCharType="begin"/>
      </w:r>
      <w:r>
        <w:instrText xml:space="preserve"> HYPERLINK  \l "sub_503121"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 0503121</w:t>
      </w:r>
      <w:r>
        <w:fldChar w:fldCharType="end"/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  <w:jc w:val="both"/>
      </w:pPr>
      <w:r>
        <w:rPr>
          <w:sz w:val="28"/>
          <w:szCs w:val="28"/>
        </w:rPr>
        <w:t xml:space="preserve">– Отчет о движении денежных средств (ф. 0503123);</w:t>
      </w:r>
      <w:r>
        <w:rPr>
          <w:sz w:val="28"/>
          <w:szCs w:val="28"/>
        </w:rPr>
      </w:r>
      <w:r/>
    </w:p>
    <w:p>
      <w:pPr>
        <w:pStyle w:val="642"/>
        <w:ind w:left="0" w:right="0" w:firstLine="708"/>
      </w:pPr>
      <w:r>
        <w:rPr>
          <w:sz w:val="28"/>
          <w:szCs w:val="28"/>
        </w:rPr>
        <w:t xml:space="preserve">– Пояснительная записка </w:t>
      </w:r>
      <w:bookmarkStart w:id="0" w:name="undefined"/>
      <w:r/>
      <w:bookmarkEnd w:id="0"/>
      <w:r>
        <w:rPr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1_1001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 8 Инструкции № 191н в пояснительной записке (ф.0503160) отражена информация о не составленных формах бюджетной отчетности, в которых все показатели не имеют числовых значений.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Бюджетная отчетность в соответствии с п. 9 Инструкции № 191н составлена нарастающим итогом с начала года в рублях с точностью до второго десятичного знака после запятой.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41"/>
        <w:jc w:val="both"/>
        <w:tabs>
          <w:tab w:val="left" w:pos="798" w:leader="none"/>
          <w:tab w:val="left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4.  При сопоставлении данных баланса главного распорядителя,  распорядителя, получателя бюджетных средств, главного администратора, администратора источников  финансирования д</w:t>
      </w:r>
      <w:r>
        <w:rPr>
          <w:rFonts w:ascii="Times New Roman" w:hAnsi="Times New Roman" w:cs="Times New Roman"/>
          <w:sz w:val="28"/>
          <w:szCs w:val="28"/>
        </w:rPr>
        <w:t xml:space="preserve">ефицита бюджета, главного администратора, администратора доходов бюджета на конец предшествующего проверяемому периоду и на начало отчетного периода установлено, что  показатели по счетам корректно перенесены из предыдущего периода и не содержат искажений.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9"/>
        <w:ind w:left="0" w:right="0" w:firstLine="709"/>
        <w:jc w:val="both"/>
        <w:tabs>
          <w:tab w:val="left" w:pos="567" w:leader="none"/>
          <w:tab w:val="left" w:pos="798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показателей между формами и внутренних противоречий форм бюджетной отчетности не установлено.</w:t>
      </w:r>
      <w:r>
        <w:rPr>
          <w:rFonts w:ascii="Times New Roman" w:hAnsi="Times New Roman" w:cs="Times New Roman"/>
          <w:color w:val="ff3366"/>
          <w:sz w:val="28"/>
          <w:szCs w:val="28"/>
        </w:rPr>
      </w:r>
      <w:r/>
    </w:p>
    <w:p>
      <w:pPr>
        <w:pStyle w:val="701"/>
        <w:jc w:val="both"/>
        <w:tabs>
          <w:tab w:val="left" w:pos="741" w:leader="none"/>
        </w:tabs>
      </w:pPr>
      <w:r>
        <w:rPr>
          <w:rFonts w:ascii="Times New Roman" w:hAnsi="Times New Roman" w:cs="Times New Roman"/>
          <w:color w:val="ff336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</w:t>
      </w:r>
      <w:bookmarkStart w:id="0" w:name="undefined"/>
      <w:r>
        <w:rPr>
          <w:rFonts w:ascii="Times New Roman" w:hAnsi="Times New Roman" w:cs="Times New Roman"/>
          <w:sz w:val="28"/>
          <w:szCs w:val="28"/>
        </w:rPr>
        <w:t xml:space="preserve">  По состоянию на 1 января 2023 года сложилась дебиторская задолженность в сумме 5932,1  тыс. руб., просроченная дебиторская задолженность отсутствует, кредиторская задолженность составляет 1570,6 тыс. руб.,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просроченная кредиторская задолженность – 600,5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color w:val="ff3366"/>
          <w:sz w:val="26"/>
          <w:szCs w:val="26"/>
        </w:rPr>
      </w:r>
      <w:r/>
    </w:p>
    <w:p>
      <w:pPr>
        <w:pStyle w:val="642"/>
        <w:ind w:left="0" w:right="0" w:firstLine="720"/>
        <w:jc w:val="both"/>
        <w:rPr>
          <w:rFonts w:ascii="Times New Roman" w:hAnsi="Times New Roman" w:cs="Times New Roman"/>
          <w:bCs/>
          <w:color w:val="ff3366"/>
          <w:sz w:val="26"/>
          <w:szCs w:val="26"/>
        </w:rPr>
      </w:pPr>
      <w:r>
        <w:rPr>
          <w:b/>
          <w:color w:val="ff3366"/>
          <w:sz w:val="26"/>
          <w:szCs w:val="26"/>
        </w:rPr>
      </w:r>
      <w:r>
        <w:rPr>
          <w:b/>
          <w:color w:val="ff3366"/>
          <w:sz w:val="26"/>
          <w:szCs w:val="26"/>
        </w:rPr>
      </w:r>
      <w:r/>
    </w:p>
    <w:p>
      <w:pPr>
        <w:pStyle w:val="701"/>
        <w:jc w:val="both"/>
        <w:tabs>
          <w:tab w:val="left" w:pos="741" w:leader="none"/>
        </w:tabs>
        <w:rPr>
          <w:b/>
          <w:color w:val="ff3366"/>
          <w:sz w:val="26"/>
          <w:szCs w:val="26"/>
        </w:rPr>
      </w:pPr>
      <w:r>
        <w:rPr>
          <w:b/>
          <w:color w:val="ff3366"/>
          <w:sz w:val="26"/>
          <w:szCs w:val="26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ind w:right="360"/>
      <w:tabs>
        <w:tab w:val="right" w:pos="8426" w:leader="none"/>
        <w:tab w:val="clear" w:pos="8786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358775" cy="17145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00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642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18.4pt;mso-position-horizontal:absolute;mso-position-vertical-relative:text;margin-top:0.0pt;mso-position-vertical:absolute;width:28.3pt;height:13.5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700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642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3"/>
      <w:isLgl w:val="false"/>
      <w:suff w:val="nothing"/>
      <w:lvlText w:val=""/>
      <w:lvlJc w:val="left"/>
      <w:pPr>
        <w:pStyle w:val="642"/>
        <w:ind w:left="432" w:hanging="432"/>
        <w:tabs>
          <w:tab w:val="num" w:pos="432" w:leader="none"/>
        </w:tabs>
      </w:pPr>
    </w:lvl>
    <w:lvl w:ilvl="1">
      <w:start w:val="1"/>
      <w:numFmt w:val="decimal"/>
      <w:pStyle w:val="644"/>
      <w:isLgl w:val="false"/>
      <w:suff w:val="nothing"/>
      <w:lvlText w:val=""/>
      <w:lvlJc w:val="left"/>
      <w:pPr>
        <w:pStyle w:val="642"/>
        <w:ind w:left="576" w:hanging="576"/>
        <w:tabs>
          <w:tab w:val="num" w:pos="576" w:leader="none"/>
        </w:tabs>
      </w:pPr>
    </w:lvl>
    <w:lvl w:ilvl="2">
      <w:start w:val="1"/>
      <w:numFmt w:val="decimal"/>
      <w:pStyle w:val="645"/>
      <w:isLgl w:val="false"/>
      <w:suff w:val="nothing"/>
      <w:lvlText w:val=""/>
      <w:lvlJc w:val="left"/>
      <w:pPr>
        <w:pStyle w:val="64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2"/>
        <w:ind w:left="720" w:hanging="360"/>
        <w:tabs>
          <w:tab w:val="num" w:pos="72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642"/>
        <w:ind w:left="1080" w:hanging="360"/>
        <w:tabs>
          <w:tab w:val="num" w:pos="1080" w:leader="none"/>
        </w:tabs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2"/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2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2"/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2"/>
        <w:ind w:left="3240" w:hanging="360"/>
        <w:tabs>
          <w:tab w:val="num" w:pos="3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2"/>
        <w:ind w:left="720" w:hanging="360"/>
        <w:tabs>
          <w:tab w:val="num" w:pos="72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pStyle w:val="642"/>
        <w:ind w:left="1080" w:hanging="360"/>
        <w:tabs>
          <w:tab w:val="num" w:pos="1080" w:leader="none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2"/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2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2"/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2"/>
        <w:ind w:left="3240" w:hanging="360"/>
        <w:tabs>
          <w:tab w:val="num" w:pos="324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2"/>
    <w:next w:val="64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2"/>
    <w:next w:val="64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2"/>
    <w:next w:val="64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2"/>
    <w:next w:val="64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2"/>
    <w:next w:val="64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2"/>
    <w:next w:val="64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2"/>
    <w:next w:val="64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2"/>
    <w:next w:val="64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2"/>
    <w:next w:val="64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2"/>
    <w:next w:val="64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2"/>
    <w:next w:val="64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2"/>
    <w:next w:val="64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2"/>
    <w:next w:val="64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next w:val="642"/>
    <w:link w:val="642"/>
    <w:qFormat/>
    <w:rPr>
      <w:color w:val="000000"/>
      <w:sz w:val="24"/>
      <w:szCs w:val="24"/>
      <w:lang w:val="ru-RU" w:eastAsia="ar-SA" w:bidi="ar-SA"/>
    </w:rPr>
  </w:style>
  <w:style w:type="paragraph" w:styleId="643">
    <w:name w:val="Заголовок 1"/>
    <w:basedOn w:val="642"/>
    <w:next w:val="642"/>
    <w:link w:val="642"/>
    <w:qFormat/>
    <w:pPr>
      <w:numPr>
        <w:ilvl w:val="0"/>
        <w:numId w:val="1"/>
      </w:num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44">
    <w:name w:val="Заголовок 2"/>
    <w:basedOn w:val="643"/>
    <w:next w:val="642"/>
    <w:link w:val="642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645">
    <w:name w:val="Заголовок 3"/>
    <w:basedOn w:val="644"/>
    <w:next w:val="642"/>
    <w:link w:val="642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646">
    <w:name w:val="Основной шрифт абзаца"/>
    <w:next w:val="646"/>
    <w:link w:val="642"/>
    <w:semiHidden/>
  </w:style>
  <w:style w:type="table" w:styleId="647">
    <w:name w:val="Обычная таблица"/>
    <w:next w:val="647"/>
    <w:link w:val="642"/>
    <w:semiHidden/>
    <w:tblPr/>
  </w:style>
  <w:style w:type="numbering" w:styleId="648">
    <w:name w:val="Нет списка"/>
    <w:next w:val="648"/>
    <w:link w:val="642"/>
    <w:semiHidden/>
  </w:style>
  <w:style w:type="character" w:styleId="649">
    <w:name w:val="WW8Num1z0"/>
    <w:next w:val="649"/>
    <w:link w:val="642"/>
  </w:style>
  <w:style w:type="character" w:styleId="650">
    <w:name w:val="WW8Num1z1"/>
    <w:next w:val="650"/>
    <w:link w:val="642"/>
  </w:style>
  <w:style w:type="character" w:styleId="651">
    <w:name w:val="WW8Num1z2"/>
    <w:next w:val="651"/>
    <w:link w:val="642"/>
  </w:style>
  <w:style w:type="character" w:styleId="652">
    <w:name w:val="WW8Num1z3"/>
    <w:next w:val="652"/>
    <w:link w:val="642"/>
  </w:style>
  <w:style w:type="character" w:styleId="653">
    <w:name w:val="WW8Num1z4"/>
    <w:next w:val="653"/>
    <w:link w:val="642"/>
  </w:style>
  <w:style w:type="character" w:styleId="654">
    <w:name w:val="WW8Num1z5"/>
    <w:next w:val="654"/>
    <w:link w:val="642"/>
  </w:style>
  <w:style w:type="character" w:styleId="655">
    <w:name w:val="WW8Num1z6"/>
    <w:next w:val="655"/>
    <w:link w:val="642"/>
  </w:style>
  <w:style w:type="character" w:styleId="656">
    <w:name w:val="WW8Num1z7"/>
    <w:next w:val="656"/>
    <w:link w:val="642"/>
  </w:style>
  <w:style w:type="character" w:styleId="657">
    <w:name w:val="WW8Num1z8"/>
    <w:next w:val="657"/>
    <w:link w:val="642"/>
  </w:style>
  <w:style w:type="character" w:styleId="658">
    <w:name w:val="WW8Num2z0"/>
    <w:next w:val="658"/>
    <w:link w:val="642"/>
  </w:style>
  <w:style w:type="character" w:styleId="659">
    <w:name w:val="WW8Num2z1"/>
    <w:next w:val="659"/>
    <w:link w:val="642"/>
  </w:style>
  <w:style w:type="character" w:styleId="660">
    <w:name w:val="WW8Num2z2"/>
    <w:next w:val="660"/>
    <w:link w:val="642"/>
  </w:style>
  <w:style w:type="character" w:styleId="661">
    <w:name w:val="WW8Num2z3"/>
    <w:next w:val="661"/>
    <w:link w:val="642"/>
  </w:style>
  <w:style w:type="character" w:styleId="662">
    <w:name w:val="WW8Num2z4"/>
    <w:next w:val="662"/>
    <w:link w:val="642"/>
  </w:style>
  <w:style w:type="character" w:styleId="663">
    <w:name w:val="WW8Num2z5"/>
    <w:next w:val="663"/>
    <w:link w:val="642"/>
  </w:style>
  <w:style w:type="character" w:styleId="664">
    <w:name w:val="WW8Num2z6"/>
    <w:next w:val="664"/>
    <w:link w:val="642"/>
  </w:style>
  <w:style w:type="character" w:styleId="665">
    <w:name w:val="WW8Num2z7"/>
    <w:next w:val="665"/>
    <w:link w:val="642"/>
  </w:style>
  <w:style w:type="character" w:styleId="666">
    <w:name w:val="WW8Num2z8"/>
    <w:next w:val="666"/>
    <w:link w:val="642"/>
  </w:style>
  <w:style w:type="character" w:styleId="667">
    <w:name w:val="WW8Num3z0"/>
    <w:next w:val="667"/>
    <w:link w:val="642"/>
    <w:rPr>
      <w:rFonts w:ascii="Symbol" w:hAnsi="Symbol" w:cs="Symbol"/>
    </w:rPr>
  </w:style>
  <w:style w:type="character" w:styleId="668">
    <w:name w:val="WW8Num4z0"/>
    <w:next w:val="668"/>
    <w:link w:val="642"/>
  </w:style>
  <w:style w:type="character" w:styleId="669">
    <w:name w:val="WW8Num4z1"/>
    <w:next w:val="669"/>
    <w:link w:val="642"/>
  </w:style>
  <w:style w:type="character" w:styleId="670">
    <w:name w:val="WW8Num4z2"/>
    <w:next w:val="670"/>
    <w:link w:val="642"/>
    <w:rPr>
      <w:rFonts w:ascii="Times New Roman" w:hAnsi="Times New Roman" w:cs="Times New Roman"/>
      <w:sz w:val="28"/>
      <w:szCs w:val="28"/>
    </w:rPr>
  </w:style>
  <w:style w:type="character" w:styleId="671">
    <w:name w:val="WW8Num4z3"/>
    <w:next w:val="671"/>
    <w:link w:val="642"/>
  </w:style>
  <w:style w:type="character" w:styleId="672">
    <w:name w:val="WW8Num4z4"/>
    <w:next w:val="672"/>
    <w:link w:val="642"/>
  </w:style>
  <w:style w:type="character" w:styleId="673">
    <w:name w:val="WW8Num4z5"/>
    <w:next w:val="673"/>
    <w:link w:val="642"/>
  </w:style>
  <w:style w:type="character" w:styleId="674">
    <w:name w:val="WW8Num4z6"/>
    <w:next w:val="674"/>
    <w:link w:val="642"/>
  </w:style>
  <w:style w:type="character" w:styleId="675">
    <w:name w:val="WW8Num4z7"/>
    <w:next w:val="675"/>
    <w:link w:val="642"/>
  </w:style>
  <w:style w:type="character" w:styleId="676">
    <w:name w:val="WW8Num4z8"/>
    <w:next w:val="676"/>
    <w:link w:val="642"/>
  </w:style>
  <w:style w:type="character" w:styleId="677">
    <w:name w:val="WW8Num5z0"/>
    <w:next w:val="677"/>
    <w:link w:val="642"/>
  </w:style>
  <w:style w:type="character" w:styleId="678">
    <w:name w:val="WW8Num5z1"/>
    <w:next w:val="678"/>
    <w:link w:val="642"/>
  </w:style>
  <w:style w:type="character" w:styleId="679">
    <w:name w:val="WW8Num5z2"/>
    <w:next w:val="679"/>
    <w:link w:val="642"/>
    <w:rPr>
      <w:rFonts w:ascii="Times New Roman" w:hAnsi="Times New Roman" w:cs="Times New Roman"/>
      <w:color w:val="000000"/>
      <w:sz w:val="28"/>
      <w:szCs w:val="28"/>
    </w:rPr>
  </w:style>
  <w:style w:type="character" w:styleId="680">
    <w:name w:val="WW8Num5z3"/>
    <w:next w:val="680"/>
    <w:link w:val="642"/>
  </w:style>
  <w:style w:type="character" w:styleId="681">
    <w:name w:val="WW8Num5z4"/>
    <w:next w:val="681"/>
    <w:link w:val="642"/>
  </w:style>
  <w:style w:type="character" w:styleId="682">
    <w:name w:val="WW8Num5z5"/>
    <w:next w:val="682"/>
    <w:link w:val="642"/>
  </w:style>
  <w:style w:type="character" w:styleId="683">
    <w:name w:val="WW8Num5z6"/>
    <w:next w:val="683"/>
    <w:link w:val="642"/>
  </w:style>
  <w:style w:type="character" w:styleId="684">
    <w:name w:val="WW8Num5z7"/>
    <w:next w:val="684"/>
    <w:link w:val="642"/>
  </w:style>
  <w:style w:type="character" w:styleId="685">
    <w:name w:val="WW8Num5z8"/>
    <w:next w:val="685"/>
    <w:link w:val="642"/>
  </w:style>
  <w:style w:type="character" w:styleId="686">
    <w:name w:val="WW8Num6z0"/>
    <w:next w:val="686"/>
    <w:link w:val="642"/>
    <w:rPr>
      <w:rFonts w:ascii="Symbol" w:hAnsi="Symbol" w:cs="Symbol"/>
    </w:rPr>
  </w:style>
  <w:style w:type="character" w:styleId="687">
    <w:name w:val="Основной шрифт абзаца1"/>
    <w:next w:val="687"/>
    <w:link w:val="642"/>
  </w:style>
  <w:style w:type="character" w:styleId="688">
    <w:name w:val="Ãèïåðòåêñòîâàÿ ññûëêà"/>
    <w:basedOn w:val="687"/>
    <w:next w:val="688"/>
    <w:link w:val="642"/>
    <w:rPr>
      <w:b/>
      <w:color w:val="007f00"/>
    </w:rPr>
  </w:style>
  <w:style w:type="character" w:styleId="689">
    <w:name w:val="Гипертекстовая ссылка"/>
    <w:basedOn w:val="687"/>
    <w:next w:val="689"/>
    <w:link w:val="642"/>
    <w:rPr>
      <w:b/>
      <w:bCs w:val="0"/>
      <w:color w:val="007f00"/>
    </w:rPr>
  </w:style>
  <w:style w:type="character" w:styleId="690">
    <w:name w:val="Гиперссылка"/>
    <w:next w:val="690"/>
    <w:link w:val="642"/>
    <w:rPr>
      <w:color w:val="000080"/>
      <w:u w:val="single"/>
      <w:lang w:val="en-US" w:eastAsia="en-US" w:bidi="en-US"/>
    </w:rPr>
  </w:style>
  <w:style w:type="paragraph" w:styleId="691">
    <w:name w:val="Заголовок"/>
    <w:basedOn w:val="642"/>
    <w:next w:val="692"/>
    <w:link w:val="64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92">
    <w:name w:val="Основной текст"/>
    <w:basedOn w:val="642"/>
    <w:next w:val="692"/>
    <w:link w:val="642"/>
    <w:pPr>
      <w:spacing w:before="0" w:after="120"/>
    </w:pPr>
  </w:style>
  <w:style w:type="paragraph" w:styleId="693">
    <w:name w:val="Список"/>
    <w:basedOn w:val="692"/>
    <w:next w:val="693"/>
    <w:link w:val="642"/>
    <w:rPr>
      <w:rFonts w:cs="Mangal"/>
    </w:rPr>
  </w:style>
  <w:style w:type="paragraph" w:styleId="694">
    <w:name w:val="Название1"/>
    <w:basedOn w:val="642"/>
    <w:next w:val="694"/>
    <w:link w:val="64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95">
    <w:name w:val="Указатель1"/>
    <w:basedOn w:val="642"/>
    <w:next w:val="695"/>
    <w:link w:val="642"/>
    <w:pPr>
      <w:suppressLineNumbers/>
    </w:pPr>
    <w:rPr>
      <w:rFonts w:cs="Mangal"/>
    </w:rPr>
  </w:style>
  <w:style w:type="paragraph" w:styleId="696">
    <w:name w:val="Название*"/>
    <w:basedOn w:val="642"/>
    <w:next w:val="696"/>
    <w:link w:val="642"/>
    <w:pPr>
      <w:spacing w:before="120" w:after="120"/>
    </w:pPr>
    <w:rPr>
      <w:rFonts w:cs="Mangal"/>
      <w:i/>
    </w:rPr>
  </w:style>
  <w:style w:type="paragraph" w:styleId="697">
    <w:name w:val="Указатель*"/>
    <w:basedOn w:val="642"/>
    <w:next w:val="697"/>
    <w:link w:val="642"/>
    <w:rPr>
      <w:rFonts w:cs="Mangal"/>
    </w:rPr>
  </w:style>
  <w:style w:type="paragraph" w:styleId="698">
    <w:name w:val="ConsPlusTitle"/>
    <w:next w:val="698"/>
    <w:link w:val="642"/>
    <w:pPr>
      <w:widowControl w:val="off"/>
    </w:pPr>
    <w:rPr>
      <w:rFonts w:ascii="Arial" w:hAnsi="Arial" w:cs="Arial"/>
      <w:b/>
      <w:color w:val="000000"/>
      <w:sz w:val="24"/>
      <w:szCs w:val="24"/>
      <w:lang w:val="ru-RU" w:eastAsia="ar-SA" w:bidi="ar-SA"/>
    </w:rPr>
  </w:style>
  <w:style w:type="paragraph" w:styleId="699">
    <w:name w:val="ConsPlusNormal"/>
    <w:next w:val="699"/>
    <w:link w:val="642"/>
    <w:pPr>
      <w:ind w:firstLine="720"/>
      <w:widowControl w:val="off"/>
    </w:pPr>
    <w:rPr>
      <w:rFonts w:ascii="Arial" w:hAnsi="Arial" w:cs="Arial"/>
      <w:color w:val="000000"/>
      <w:sz w:val="24"/>
      <w:szCs w:val="24"/>
      <w:lang w:val="ru-RU" w:eastAsia="ar-SA" w:bidi="ar-SA"/>
    </w:rPr>
  </w:style>
  <w:style w:type="paragraph" w:styleId="700">
    <w:name w:val="Нижний колонтитул"/>
    <w:basedOn w:val="642"/>
    <w:next w:val="700"/>
    <w:link w:val="642"/>
    <w:pPr>
      <w:tabs>
        <w:tab w:val="center" w:pos="4677" w:leader="none"/>
        <w:tab w:val="right" w:pos="8786" w:leader="none"/>
      </w:tabs>
    </w:pPr>
  </w:style>
  <w:style w:type="paragraph" w:styleId="701">
    <w:name w:val="ConsPlusNonformat"/>
    <w:next w:val="701"/>
    <w:link w:val="642"/>
    <w:rPr>
      <w:rFonts w:ascii="Courier New" w:hAnsi="Courier New" w:cs="Courier New"/>
      <w:color w:val="000000"/>
      <w:sz w:val="24"/>
      <w:szCs w:val="24"/>
      <w:lang w:val="ru-RU" w:eastAsia="ar-SA" w:bidi="ar-SA"/>
    </w:rPr>
  </w:style>
  <w:style w:type="paragraph" w:styleId="702">
    <w:name w:val="Схема документа*"/>
    <w:basedOn w:val="642"/>
    <w:next w:val="702"/>
    <w:link w:val="642"/>
    <w:pPr>
      <w:shd w:val="clear" w:color="auto" w:fill="00007f"/>
    </w:pPr>
    <w:rPr>
      <w:rFonts w:ascii="Tahoma" w:hAnsi="Tahoma" w:cs="Tahoma"/>
    </w:rPr>
  </w:style>
  <w:style w:type="paragraph" w:styleId="703">
    <w:name w:val="Содержимое врезки"/>
    <w:basedOn w:val="692"/>
    <w:next w:val="703"/>
    <w:link w:val="642"/>
  </w:style>
  <w:style w:type="paragraph" w:styleId="704">
    <w:name w:val="Верхний колонтитул"/>
    <w:basedOn w:val="642"/>
    <w:next w:val="704"/>
    <w:link w:val="642"/>
    <w:pPr>
      <w:tabs>
        <w:tab w:val="center" w:pos="4819" w:leader="none"/>
        <w:tab w:val="right" w:pos="8786" w:leader="none"/>
      </w:tabs>
    </w:p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  <w:style w:type="character" w:styleId="1_1001" w:customStyle="1">
    <w:name w:val="Интернет-ссылка"/>
    <w:next w:val="724"/>
    <w:link w:val="678"/>
    <w:rPr>
      <w:color w:val="000080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34</cp:revision>
  <dcterms:created xsi:type="dcterms:W3CDTF">2009-04-02T13:54:00Z</dcterms:created>
  <dcterms:modified xsi:type="dcterms:W3CDTF">2023-05-03T10:41:01Z</dcterms:modified>
  <cp:version>786432</cp:version>
</cp:coreProperties>
</file>