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  <w:r/>
    </w:p>
    <w:p>
      <w:pPr>
        <w:pStyle w:val="85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85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textWrapping" w:clear="all"/>
      </w:r>
      <w:r>
        <w:rPr>
          <w:color w:val="000000"/>
          <w:sz w:val="28"/>
          <w:szCs w:val="28"/>
        </w:rPr>
      </w:r>
      <w:r/>
    </w:p>
    <w:p>
      <w:pPr>
        <w:pStyle w:val="858"/>
        <w:rPr>
          <w:b/>
          <w:color w:val="000000"/>
        </w:rPr>
      </w:pPr>
      <w:r>
        <w:rPr>
          <w:b w:val="0"/>
          <w:bCs w:val="0"/>
          <w:color w:val="000000"/>
        </w:rPr>
        <w:t xml:space="preserve">1</w:t>
      </w:r>
      <w:r>
        <w:rPr>
          <w:b w:val="0"/>
          <w:bCs w:val="0"/>
          <w:color w:val="000000"/>
        </w:rPr>
        <w:t xml:space="preserve">4.04.20</w:t>
      </w:r>
      <w:r>
        <w:rPr>
          <w:b w:val="0"/>
          <w:bCs w:val="0"/>
          <w:color w:val="000000"/>
        </w:rPr>
        <w:t xml:space="preserve">2</w:t>
      </w:r>
      <w:r>
        <w:rPr>
          <w:b w:val="0"/>
          <w:bCs w:val="0"/>
          <w:color w:val="000000"/>
        </w:rPr>
        <w:t xml:space="preserve">3</w:t>
      </w:r>
      <w:r/>
    </w:p>
    <w:p>
      <w:pPr>
        <w:pStyle w:val="85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58"/>
        <w:ind w:left="0" w:right="0" w:firstLine="684"/>
        <w:jc w:val="both"/>
      </w:pPr>
      <w:r>
        <w:rPr>
          <w:rFonts w:cs="Times New Roman"/>
          <w:color w:val="000000"/>
          <w:sz w:val="28"/>
          <w:szCs w:val="28"/>
        </w:rPr>
        <w:t xml:space="preserve">В соответствии со статьей  264.4 Бюджетного кодекса Российской Федерации на основании пл</w:t>
      </w:r>
      <w:r>
        <w:rPr>
          <w:rFonts w:cs="Times New Roman"/>
          <w:color w:val="000000"/>
          <w:sz w:val="28"/>
          <w:szCs w:val="28"/>
        </w:rPr>
        <w:t xml:space="preserve">ана работы на 2023 год Контрольно-счётной комиссией Балтайского муниципального района проведена внешняя проверка бюджетной отчётности Контрольно-счетной комиссии Балтайского муниципального района (далее по тексту – Контрольно-счетная комиссия) за 2022 год.</w:t>
      </w:r>
      <w:r/>
    </w:p>
    <w:p>
      <w:pPr>
        <w:pStyle w:val="923"/>
        <w:ind w:left="0" w:right="0" w:firstLine="741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годовой бюджетной отчётности Контрольно-счетной комиссии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п. 10 Инструкции о порядке составления и представления годовой, квартальной и месячной отчетности об исполнении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бюджетов бюджетной системы Российской Федерации утвержденной приказом Министерства финансов Российской Федерации от                            28 декабря 2010 г. № 191н (далее по тексту – Инструкция № 191н) было установлено приказом финансового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30.12.202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33 </w:t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 порядке составления и сроках представления в финансовое управлени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Балтайского муниципального района Саратовской области годовой бюджетной отчетности об ис</w:t>
      </w:r>
      <w:r>
        <w:rPr>
          <w:rFonts w:ascii="Times New Roman" w:hAnsi="Times New Roman" w:cs="Times New Roman"/>
          <w:sz w:val="28"/>
          <w:szCs w:val="28"/>
        </w:rPr>
        <w:t xml:space="preserve">полнении местного бюджета 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следующие сроки: дата предоставления годовой отчетности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17.01.2023, дата сдачи отчетности – 26.01.2023.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3"/>
        <w:ind w:left="0" w:right="0" w:firstLine="741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проверки установлено: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23"/>
        <w:ind w:left="0" w:right="0" w:firstLine="74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Бюджетная отчётность представлена в установленный срок, в сброшюрованном и пронумерованном виде, с оглавлением и сопроводительным письмом, за подписями руководителя и главного бухгалтера Контрольно-счетной комиссии. Также представлен </w:t>
      </w:r>
      <w:r>
        <w:rPr>
          <w:rFonts w:ascii="Times New Roman" w:hAnsi="Times New Roman" w:cs="Times New Roman"/>
          <w:color w:val="000000"/>
          <w:sz w:val="28"/>
        </w:rPr>
        <w:t xml:space="preserve">Контрольный лист о результатах проверки и рассмотрения годовой бюджетной отчетности об исполнении местного бюджета главных распорядителей, получателей средств местного бюджета, главных администраторов доходов и источников финансирования д</w:t>
      </w:r>
      <w:r>
        <w:rPr>
          <w:rFonts w:ascii="Times New Roman" w:hAnsi="Times New Roman" w:cs="Times New Roman"/>
          <w:color w:val="000000"/>
          <w:sz w:val="28"/>
        </w:rPr>
        <w:t xml:space="preserve">е</w:t>
      </w:r>
      <w:r>
        <w:rPr>
          <w:rFonts w:ascii="Times New Roman" w:hAnsi="Times New Roman" w:cs="Times New Roman"/>
          <w:color w:val="000000"/>
          <w:sz w:val="28"/>
        </w:rPr>
        <w:t xml:space="preserve">фицита местного бюджета за 2022  год Контрольно-счетной комиссии с подписями должностных лиц и утверждённый руководителем финансового управления о подтверждении представления отчётности в установленные сроки и отсутствии замечаний при проверке отчётности. </w:t>
      </w:r>
      <w:r>
        <w:rPr>
          <w:rFonts w:ascii="Times New Roman" w:hAnsi="Times New Roman" w:cs="Times New Roman"/>
          <w:color w:val="0000ff"/>
          <w:sz w:val="28"/>
          <w:szCs w:val="28"/>
        </w:rPr>
      </w:r>
      <w:r/>
    </w:p>
    <w:p>
      <w:pPr>
        <w:pStyle w:val="923"/>
        <w:ind w:left="0" w:right="0" w:firstLine="0"/>
        <w:jc w:val="both"/>
        <w:tabs>
          <w:tab w:val="left" w:pos="0" w:leader="none"/>
        </w:tabs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 Состав бюджетной отчётности соответствует формам отчётов предусмотренных Инструкцией № 191н и включает следующие формы: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23"/>
        <w:ind w:left="0" w:right="0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  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>
        <w:fldChar w:fldCharType="begin"/>
      </w:r>
      <w:r>
        <w:instrText xml:space="preserve"> HYPERLINK  \l "sub_503130"</w:instrText>
      </w:r>
      <w:r>
        <w:fldChar w:fldCharType="separate"/>
      </w:r>
      <w:r>
        <w:rPr>
          <w:rStyle w:val="932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ф. 0503130</w: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858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  Справка по заключению счетов бюджетного учета отчетного финансового года (</w:t>
      </w:r>
      <w:r>
        <w:fldChar w:fldCharType="begin"/>
      </w:r>
      <w:r>
        <w:instrText xml:space="preserve"> HYPERLINK  \l "sub_503110"</w:instrText>
      </w:r>
      <w:r>
        <w:fldChar w:fldCharType="separate"/>
      </w:r>
      <w:r>
        <w:rPr>
          <w:rStyle w:val="932"/>
          <w:rFonts w:cs="Times New Roman"/>
          <w:bCs/>
          <w:color w:val="000000"/>
          <w:sz w:val="28"/>
          <w:szCs w:val="28"/>
          <w:u w:val="none"/>
        </w:rPr>
        <w:t xml:space="preserve">ф. 0503110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858"/>
        <w:ind w:left="0" w:righ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–  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>
        <w:fldChar w:fldCharType="begin"/>
      </w:r>
      <w:r>
        <w:instrText xml:space="preserve"> HYPERLINK  \l "sub_503127"</w:instrText>
      </w:r>
      <w:r>
        <w:fldChar w:fldCharType="separate"/>
      </w:r>
      <w:r>
        <w:rPr>
          <w:rStyle w:val="932"/>
          <w:rFonts w:cs="Times New Roman"/>
          <w:bCs/>
          <w:color w:val="000000"/>
          <w:sz w:val="28"/>
          <w:szCs w:val="28"/>
          <w:u w:val="none"/>
        </w:rPr>
        <w:t xml:space="preserve">ф. 0503127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858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  Отчет о принятых бюджетных обязательствах (</w:t>
      </w:r>
      <w:r>
        <w:fldChar w:fldCharType="begin"/>
      </w:r>
      <w:r>
        <w:instrText xml:space="preserve"> HYPERLINK  \l "sub_503128"</w:instrText>
      </w:r>
      <w:r>
        <w:fldChar w:fldCharType="separate"/>
      </w:r>
      <w:r>
        <w:rPr>
          <w:rStyle w:val="932"/>
          <w:rFonts w:cs="Times New Roman"/>
          <w:bCs/>
          <w:color w:val="000000"/>
          <w:sz w:val="28"/>
          <w:szCs w:val="28"/>
          <w:u w:val="none"/>
        </w:rPr>
        <w:t xml:space="preserve">ф. 0503128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858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  Отчет о финансовых результатах деятельности (</w:t>
      </w:r>
      <w:r>
        <w:fldChar w:fldCharType="begin"/>
      </w:r>
      <w:r>
        <w:instrText xml:space="preserve"> HYPERLINK  \l "sub_503121"</w:instrText>
      </w:r>
      <w:r>
        <w:fldChar w:fldCharType="separate"/>
      </w:r>
      <w:r>
        <w:rPr>
          <w:rStyle w:val="932"/>
          <w:rFonts w:cs="Times New Roman"/>
          <w:bCs/>
          <w:color w:val="000000"/>
          <w:sz w:val="28"/>
          <w:szCs w:val="28"/>
          <w:u w:val="none"/>
        </w:rPr>
        <w:t xml:space="preserve">ф. 0503121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858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  Отчет о движении денежных средств (ф. 0503123);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858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  Пояснительная записка </w:t>
      </w:r>
      <w:bookmarkStart w:id="0" w:name="undefined"/>
      <w:r/>
      <w:bookmarkEnd w:id="0"/>
      <w:r>
        <w:rPr>
          <w:rFonts w:cs="Times New Roman"/>
          <w:color w:val="000000"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"sub_503160"</w:instrText>
      </w:r>
      <w:r>
        <w:fldChar w:fldCharType="separate"/>
      </w:r>
      <w:r>
        <w:rPr>
          <w:rStyle w:val="932"/>
          <w:rFonts w:cs="Times New Roman"/>
          <w:bCs/>
          <w:color w:val="000000"/>
          <w:sz w:val="28"/>
          <w:szCs w:val="28"/>
          <w:u w:val="none"/>
        </w:rPr>
        <w:t xml:space="preserve">ф. 0503160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23"/>
        <w:ind w:left="0" w:right="0" w:firstLine="74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п.8 Инструкции № 191н в пояснительной записке (ф.0503160) отражена информация о не составленных формах бюджетной отчетности, в которых все показатели не имеют числовых значений.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23"/>
        <w:jc w:val="both"/>
        <w:spacing w:line="100" w:lineRule="atLeast"/>
        <w:tabs>
          <w:tab w:val="left" w:pos="0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Бюджетная отчетность в соответствии с п. 9 Инструкции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191н составлена нарастающим итогом с начала года в рублях с точностью до второго десятичного знака после запятой.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r>
      <w:r/>
    </w:p>
    <w:p>
      <w:pPr>
        <w:pStyle w:val="925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 При сопоставлении данных Балансов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"sub_503130"</w:instrText>
      </w:r>
      <w:r>
        <w:fldChar w:fldCharType="separate"/>
      </w:r>
      <w:r>
        <w:rPr>
          <w:rStyle w:val="932"/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ф</w:t>
      </w:r>
      <w:r>
        <w:rPr>
          <w:rStyle w:val="932"/>
          <w:rFonts w:ascii="Times New Roman" w:hAnsi="Times New Roman" w:cs="Times New Roman"/>
          <w:color w:val="000000"/>
          <w:sz w:val="28"/>
          <w:szCs w:val="28"/>
          <w:u w:val="none"/>
          <w:lang w:val="ru-RU" w:eastAsia="ru-RU" w:bidi="ru-RU"/>
        </w:rPr>
        <w:t xml:space="preserve">. 0503130</w:t>
      </w:r>
      <w:r>
        <w:rPr>
          <w:rStyle w:val="932"/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) </w:t>
      </w:r>
      <w:r>
        <w:rPr>
          <w:rStyle w:val="932"/>
          <w:rFonts w:ascii="Times New Roman" w:hAnsi="Times New Roman" w:cs="Times New Roman"/>
          <w:color w:val="000000"/>
          <w:sz w:val="28"/>
          <w:szCs w:val="28"/>
          <w:u w:val="none"/>
          <w:lang w:val="ru-RU" w:eastAsia="ru-RU" w:bidi="ru-RU"/>
        </w:rPr>
        <w:t xml:space="preserve">на конец предшествующего проверяемому периоду и на начало отчётного периода установлено, что показатели по счетам корректно перенесены из предыдущего периода и не содержат искажений</w: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r>
      <w:r/>
    </w:p>
    <w:p>
      <w:pPr>
        <w:pStyle w:val="925"/>
        <w:ind w:left="0" w:right="0" w:firstLine="741"/>
        <w:jc w:val="both"/>
        <w:tabs>
          <w:tab w:val="left" w:pos="741" w:leader="none"/>
          <w:tab w:val="left" w:pos="3933" w:leader="none"/>
          <w:tab w:val="left" w:pos="5244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Несоответствие показателей между формами и внутренних противоречий форм бюджетной отчетности не установлено.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25"/>
        <w:ind w:left="0" w:right="0" w:firstLine="741"/>
        <w:jc w:val="both"/>
        <w:tabs>
          <w:tab w:val="left" w:pos="741" w:leader="none"/>
          <w:tab w:val="left" w:pos="3933" w:leader="none"/>
          <w:tab w:val="left" w:pos="524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 По состоянию на 1 января 2023 года дебиторская задолженность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0,6  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тыс.  руб., кредиторская задолженность составляет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230,4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тыс. руб., в том числе просроченная кредиторская задолженность –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162,2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тыс. руб. </w:t>
      </w:r>
      <w:r>
        <w:rPr>
          <w:rFonts w:cs="Times New Roman"/>
          <w:color w:val="ff0000"/>
          <w:sz w:val="28"/>
          <w:szCs w:val="28"/>
        </w:rPr>
      </w:r>
      <w:r/>
    </w:p>
    <w:p>
      <w:pPr>
        <w:pStyle w:val="925"/>
        <w:ind w:firstLine="741"/>
        <w:jc w:val="both"/>
        <w:tabs>
          <w:tab w:val="left" w:pos="741" w:leader="none"/>
          <w:tab w:val="left" w:pos="3933" w:leader="none"/>
          <w:tab w:val="left" w:pos="5244" w:leader="none"/>
        </w:tabs>
        <w:rPr>
          <w:rFonts w:cs="Times New Roman"/>
          <w:color w:val="0000ff"/>
          <w:sz w:val="28"/>
          <w:szCs w:val="28"/>
        </w:rPr>
      </w:pPr>
      <w:r>
        <w:rPr>
          <w:rFonts w:cs="Times New Roman"/>
          <w:color w:val="0000ff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567" w:right="850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Times New Roman">
    <w:panose1 w:val="02020603050405020304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ind w:right="360"/>
      <w:tabs>
        <w:tab w:val="right" w:pos="8426" w:leader="none"/>
        <w:tab w:val="clear" w:pos="8786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357505" cy="17018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5750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24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>
                            <w:t xml:space="preserve">1</w:t>
                          </w:r>
                          <w:r>
                            <w:fldChar w:fldCharType="end"/>
                          </w:r>
                          <w:r/>
                        </w:p>
                        <w:p>
                          <w:pPr>
                            <w:pStyle w:val="858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page;margin-left:518.4pt;mso-position-horizontal:absolute;mso-position-vertical-relative:text;margin-top:0.0pt;mso-position-vertical:absolute;width:28.1pt;height:13.4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924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>
                      <w:t xml:space="preserve">1</w:t>
                    </w:r>
                    <w:r>
                      <w:fldChar w:fldCharType="end"/>
                    </w:r>
                    <w:r/>
                  </w:p>
                  <w:p>
                    <w:pPr>
                      <w:pStyle w:val="858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59"/>
      <w:isLgl w:val="false"/>
      <w:suff w:val="nothing"/>
      <w:lvlText w:val=""/>
      <w:lvlJc w:val="left"/>
      <w:pPr>
        <w:pStyle w:val="858"/>
        <w:ind w:left="432" w:hanging="432"/>
        <w:tabs>
          <w:tab w:val="num" w:pos="432" w:leader="none"/>
        </w:tabs>
      </w:pPr>
    </w:lvl>
    <w:lvl w:ilvl="1">
      <w:start w:val="1"/>
      <w:numFmt w:val="decimal"/>
      <w:pStyle w:val="860"/>
      <w:isLgl w:val="false"/>
      <w:suff w:val="nothing"/>
      <w:lvlText w:val=""/>
      <w:lvlJc w:val="left"/>
      <w:pPr>
        <w:pStyle w:val="858"/>
        <w:ind w:left="576" w:hanging="576"/>
        <w:tabs>
          <w:tab w:val="num" w:pos="576" w:leader="none"/>
        </w:tabs>
      </w:pPr>
    </w:lvl>
    <w:lvl w:ilvl="2">
      <w:start w:val="1"/>
      <w:numFmt w:val="decimal"/>
      <w:pStyle w:val="861"/>
      <w:isLgl w:val="false"/>
      <w:suff w:val="nothing"/>
      <w:lvlText w:val=""/>
      <w:lvlJc w:val="left"/>
      <w:pPr>
        <w:pStyle w:val="85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58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58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58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58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5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58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5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858"/>
        <w:ind w:left="1440" w:hanging="360"/>
        <w:tabs>
          <w:tab w:val="num" w:pos="1440" w:leader="none"/>
        </w:tabs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5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5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5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58"/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58"/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pStyle w:val="858"/>
        <w:ind w:left="1440" w:hanging="360"/>
        <w:tabs>
          <w:tab w:val="num" w:pos="1440" w:leader="none"/>
        </w:tabs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5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5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5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58"/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8"/>
    <w:next w:val="858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8"/>
    <w:next w:val="858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8"/>
    <w:next w:val="858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8"/>
    <w:next w:val="858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8"/>
    <w:next w:val="858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8"/>
    <w:next w:val="858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8"/>
    <w:next w:val="858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8"/>
    <w:next w:val="858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8"/>
    <w:next w:val="858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8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8"/>
    <w:next w:val="858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Header Char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Footer Char"/>
    <w:link w:val="710"/>
    <w:uiPriority w:val="99"/>
  </w:style>
  <w:style w:type="paragraph" w:styleId="712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next w:val="858"/>
    <w:link w:val="858"/>
    <w:qFormat/>
    <w:rPr>
      <w:color w:val="000000"/>
      <w:sz w:val="24"/>
      <w:szCs w:val="24"/>
      <w:lang w:val="ru-RU" w:eastAsia="ar-SA" w:bidi="ar-SA"/>
    </w:rPr>
  </w:style>
  <w:style w:type="paragraph" w:styleId="859">
    <w:name w:val="Заголовок 1"/>
    <w:basedOn w:val="858"/>
    <w:next w:val="858"/>
    <w:link w:val="858"/>
    <w:qFormat/>
    <w:pPr>
      <w:numPr>
        <w:ilvl w:val="0"/>
        <w:numId w:val="1"/>
      </w:numPr>
      <w:keepLines/>
      <w:keepNext/>
      <w:spacing w:before="240" w:after="60"/>
      <w:widowControl w:val="off"/>
      <w:outlineLvl w:val="0"/>
    </w:pPr>
    <w:rPr>
      <w:rFonts w:ascii="Arial" w:hAnsi="Arial" w:cs="Arial"/>
      <w:b/>
      <w:bCs w:val="0"/>
      <w:sz w:val="36"/>
      <w:szCs w:val="36"/>
    </w:rPr>
  </w:style>
  <w:style w:type="paragraph" w:styleId="860">
    <w:name w:val="Заголовок 2"/>
    <w:basedOn w:val="859"/>
    <w:next w:val="858"/>
    <w:link w:val="858"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861">
    <w:name w:val="Заголовок 3"/>
    <w:basedOn w:val="860"/>
    <w:next w:val="858"/>
    <w:link w:val="858"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862">
    <w:name w:val="Основной шрифт абзаца"/>
    <w:next w:val="862"/>
    <w:link w:val="858"/>
    <w:semiHidden/>
  </w:style>
  <w:style w:type="table" w:styleId="863">
    <w:name w:val="Обычная таблица"/>
    <w:next w:val="863"/>
    <w:link w:val="858"/>
    <w:semiHidden/>
    <w:tblPr/>
  </w:style>
  <w:style w:type="numbering" w:styleId="864">
    <w:name w:val="Нет списка"/>
    <w:next w:val="864"/>
    <w:link w:val="858"/>
    <w:semiHidden/>
  </w:style>
  <w:style w:type="character" w:styleId="865">
    <w:name w:val="WW8Num1z0"/>
    <w:next w:val="865"/>
    <w:link w:val="858"/>
  </w:style>
  <w:style w:type="character" w:styleId="866">
    <w:name w:val="WW8Num1z1"/>
    <w:next w:val="866"/>
    <w:link w:val="858"/>
  </w:style>
  <w:style w:type="character" w:styleId="867">
    <w:name w:val="WW8Num1z2"/>
    <w:next w:val="867"/>
    <w:link w:val="858"/>
  </w:style>
  <w:style w:type="character" w:styleId="868">
    <w:name w:val="WW8Num1z3"/>
    <w:next w:val="868"/>
    <w:link w:val="858"/>
  </w:style>
  <w:style w:type="character" w:styleId="869">
    <w:name w:val="WW8Num1z4"/>
    <w:next w:val="869"/>
    <w:link w:val="858"/>
  </w:style>
  <w:style w:type="character" w:styleId="870">
    <w:name w:val="WW8Num1z5"/>
    <w:next w:val="870"/>
    <w:link w:val="858"/>
  </w:style>
  <w:style w:type="character" w:styleId="871">
    <w:name w:val="WW8Num1z6"/>
    <w:next w:val="871"/>
    <w:link w:val="858"/>
  </w:style>
  <w:style w:type="character" w:styleId="872">
    <w:name w:val="WW8Num1z7"/>
    <w:next w:val="872"/>
    <w:link w:val="858"/>
  </w:style>
  <w:style w:type="character" w:styleId="873">
    <w:name w:val="WW8Num1z8"/>
    <w:next w:val="873"/>
    <w:link w:val="858"/>
  </w:style>
  <w:style w:type="character" w:styleId="874">
    <w:name w:val="WW8Num2z0"/>
    <w:next w:val="874"/>
    <w:link w:val="858"/>
  </w:style>
  <w:style w:type="character" w:styleId="875">
    <w:name w:val="WW8Num2z1"/>
    <w:next w:val="875"/>
    <w:link w:val="858"/>
  </w:style>
  <w:style w:type="character" w:styleId="876">
    <w:name w:val="WW8Num2z2"/>
    <w:next w:val="876"/>
    <w:link w:val="858"/>
  </w:style>
  <w:style w:type="character" w:styleId="877">
    <w:name w:val="WW8Num2z3"/>
    <w:next w:val="877"/>
    <w:link w:val="858"/>
  </w:style>
  <w:style w:type="character" w:styleId="878">
    <w:name w:val="WW8Num2z4"/>
    <w:next w:val="878"/>
    <w:link w:val="858"/>
  </w:style>
  <w:style w:type="character" w:styleId="879">
    <w:name w:val="WW8Num2z5"/>
    <w:next w:val="879"/>
    <w:link w:val="858"/>
  </w:style>
  <w:style w:type="character" w:styleId="880">
    <w:name w:val="WW8Num2z6"/>
    <w:next w:val="880"/>
    <w:link w:val="858"/>
  </w:style>
  <w:style w:type="character" w:styleId="881">
    <w:name w:val="WW8Num2z7"/>
    <w:next w:val="881"/>
    <w:link w:val="858"/>
  </w:style>
  <w:style w:type="character" w:styleId="882">
    <w:name w:val="WW8Num2z8"/>
    <w:next w:val="882"/>
    <w:link w:val="858"/>
  </w:style>
  <w:style w:type="character" w:styleId="883">
    <w:name w:val="WW8Num3z0"/>
    <w:next w:val="883"/>
    <w:link w:val="858"/>
  </w:style>
  <w:style w:type="character" w:styleId="884">
    <w:name w:val="WW8Num3z1"/>
    <w:next w:val="884"/>
    <w:link w:val="858"/>
  </w:style>
  <w:style w:type="character" w:styleId="885">
    <w:name w:val="WW8Num3z2"/>
    <w:next w:val="885"/>
    <w:link w:val="858"/>
  </w:style>
  <w:style w:type="character" w:styleId="886">
    <w:name w:val="WW8Num3z3"/>
    <w:next w:val="886"/>
    <w:link w:val="858"/>
  </w:style>
  <w:style w:type="character" w:styleId="887">
    <w:name w:val="WW8Num3z4"/>
    <w:next w:val="887"/>
    <w:link w:val="858"/>
  </w:style>
  <w:style w:type="character" w:styleId="888">
    <w:name w:val="WW8Num3z5"/>
    <w:next w:val="888"/>
    <w:link w:val="858"/>
  </w:style>
  <w:style w:type="character" w:styleId="889">
    <w:name w:val="WW8Num3z6"/>
    <w:next w:val="889"/>
    <w:link w:val="858"/>
  </w:style>
  <w:style w:type="character" w:styleId="890">
    <w:name w:val="WW8Num3z7"/>
    <w:next w:val="890"/>
    <w:link w:val="858"/>
  </w:style>
  <w:style w:type="character" w:styleId="891">
    <w:name w:val="WW8Num3z8"/>
    <w:next w:val="891"/>
    <w:link w:val="858"/>
  </w:style>
  <w:style w:type="character" w:styleId="892">
    <w:name w:val="WW8Num4z0"/>
    <w:next w:val="892"/>
    <w:link w:val="858"/>
  </w:style>
  <w:style w:type="character" w:styleId="893">
    <w:name w:val="WW8Num4z1"/>
    <w:next w:val="893"/>
    <w:link w:val="858"/>
  </w:style>
  <w:style w:type="character" w:styleId="894">
    <w:name w:val="WW8Num4z2"/>
    <w:next w:val="894"/>
    <w:link w:val="858"/>
    <w:rPr>
      <w:rFonts w:ascii="Times New Roman" w:hAnsi="Times New Roman" w:cs="Times New Roman"/>
      <w:sz w:val="28"/>
      <w:szCs w:val="28"/>
    </w:rPr>
  </w:style>
  <w:style w:type="character" w:styleId="895">
    <w:name w:val="WW8Num4z3"/>
    <w:next w:val="895"/>
    <w:link w:val="858"/>
  </w:style>
  <w:style w:type="character" w:styleId="896">
    <w:name w:val="WW8Num4z4"/>
    <w:next w:val="896"/>
    <w:link w:val="858"/>
  </w:style>
  <w:style w:type="character" w:styleId="897">
    <w:name w:val="WW8Num4z5"/>
    <w:next w:val="897"/>
    <w:link w:val="858"/>
  </w:style>
  <w:style w:type="character" w:styleId="898">
    <w:name w:val="WW8Num4z6"/>
    <w:next w:val="898"/>
    <w:link w:val="858"/>
  </w:style>
  <w:style w:type="character" w:styleId="899">
    <w:name w:val="WW8Num4z7"/>
    <w:next w:val="899"/>
    <w:link w:val="858"/>
  </w:style>
  <w:style w:type="character" w:styleId="900">
    <w:name w:val="WW8Num4z8"/>
    <w:next w:val="900"/>
    <w:link w:val="858"/>
  </w:style>
  <w:style w:type="character" w:styleId="901">
    <w:name w:val="WW8Num5z0"/>
    <w:next w:val="901"/>
    <w:link w:val="858"/>
  </w:style>
  <w:style w:type="character" w:styleId="902">
    <w:name w:val="WW8Num5z1"/>
    <w:next w:val="902"/>
    <w:link w:val="858"/>
  </w:style>
  <w:style w:type="character" w:styleId="903">
    <w:name w:val="WW8Num5z2"/>
    <w:next w:val="903"/>
    <w:link w:val="858"/>
    <w:rPr>
      <w:rFonts w:ascii="Times New Roman" w:hAnsi="Times New Roman" w:cs="Times New Roman"/>
      <w:sz w:val="28"/>
      <w:szCs w:val="28"/>
    </w:rPr>
  </w:style>
  <w:style w:type="character" w:styleId="904">
    <w:name w:val="WW8Num5z3"/>
    <w:next w:val="904"/>
    <w:link w:val="858"/>
  </w:style>
  <w:style w:type="character" w:styleId="905">
    <w:name w:val="WW8Num5z4"/>
    <w:next w:val="905"/>
    <w:link w:val="858"/>
  </w:style>
  <w:style w:type="character" w:styleId="906">
    <w:name w:val="WW8Num5z5"/>
    <w:next w:val="906"/>
    <w:link w:val="858"/>
  </w:style>
  <w:style w:type="character" w:styleId="907">
    <w:name w:val="WW8Num5z6"/>
    <w:next w:val="907"/>
    <w:link w:val="858"/>
  </w:style>
  <w:style w:type="character" w:styleId="908">
    <w:name w:val="WW8Num5z7"/>
    <w:next w:val="908"/>
    <w:link w:val="858"/>
  </w:style>
  <w:style w:type="character" w:styleId="909">
    <w:name w:val="WW8Num5z8"/>
    <w:next w:val="909"/>
    <w:link w:val="858"/>
  </w:style>
  <w:style w:type="character" w:styleId="910">
    <w:name w:val="Основной шрифт абзаца1"/>
    <w:next w:val="910"/>
    <w:link w:val="858"/>
  </w:style>
  <w:style w:type="character" w:styleId="911">
    <w:name w:val="Ãèïåðòåêñòîâàÿ ññûëêà"/>
    <w:basedOn w:val="910"/>
    <w:next w:val="911"/>
    <w:link w:val="858"/>
    <w:rPr>
      <w:b/>
      <w:color w:val="007f00"/>
    </w:rPr>
  </w:style>
  <w:style w:type="character" w:styleId="912">
    <w:name w:val="WW-Основной шрифт абзаца"/>
    <w:next w:val="912"/>
    <w:link w:val="858"/>
    <w:rPr>
      <w:rFonts w:eastAsia="Times New Roman"/>
      <w:sz w:val="24"/>
      <w:szCs w:val="24"/>
    </w:rPr>
  </w:style>
  <w:style w:type="character" w:styleId="913">
    <w:name w:val="Гипертекстовая ссылка"/>
    <w:basedOn w:val="910"/>
    <w:next w:val="913"/>
    <w:link w:val="858"/>
    <w:rPr>
      <w:b/>
      <w:bCs w:val="0"/>
      <w:color w:val="007f00"/>
    </w:rPr>
  </w:style>
  <w:style w:type="character" w:styleId="914">
    <w:name w:val="Гиперссылка"/>
    <w:next w:val="914"/>
    <w:link w:val="858"/>
    <w:rPr>
      <w:color w:val="000080"/>
      <w:u w:val="single"/>
      <w:lang w:val="en-US" w:eastAsia="en-US" w:bidi="en-US"/>
    </w:rPr>
  </w:style>
  <w:style w:type="paragraph" w:styleId="915">
    <w:name w:val="Заголовок"/>
    <w:basedOn w:val="858"/>
    <w:next w:val="916"/>
    <w:link w:val="858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916">
    <w:name w:val="Основной текст"/>
    <w:basedOn w:val="858"/>
    <w:next w:val="916"/>
    <w:link w:val="858"/>
    <w:pPr>
      <w:spacing w:before="0" w:after="120"/>
    </w:pPr>
  </w:style>
  <w:style w:type="paragraph" w:styleId="917">
    <w:name w:val="Список"/>
    <w:basedOn w:val="916"/>
    <w:next w:val="917"/>
    <w:link w:val="858"/>
    <w:rPr>
      <w:rFonts w:cs="Mangal"/>
    </w:rPr>
  </w:style>
  <w:style w:type="paragraph" w:styleId="918">
    <w:name w:val="Название1"/>
    <w:basedOn w:val="858"/>
    <w:next w:val="918"/>
    <w:link w:val="858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9">
    <w:name w:val="Указатель1"/>
    <w:basedOn w:val="858"/>
    <w:next w:val="919"/>
    <w:link w:val="858"/>
    <w:pPr>
      <w:suppressLineNumbers/>
    </w:pPr>
    <w:rPr>
      <w:rFonts w:cs="Mangal"/>
    </w:rPr>
  </w:style>
  <w:style w:type="paragraph" w:styleId="920">
    <w:name w:val="Название*"/>
    <w:basedOn w:val="858"/>
    <w:next w:val="920"/>
    <w:link w:val="858"/>
    <w:pPr>
      <w:spacing w:before="120" w:after="120"/>
    </w:pPr>
    <w:rPr>
      <w:rFonts w:cs="Mangal"/>
      <w:i/>
      <w:iCs w:val="0"/>
    </w:rPr>
  </w:style>
  <w:style w:type="paragraph" w:styleId="921">
    <w:name w:val="Указатель*"/>
    <w:basedOn w:val="858"/>
    <w:next w:val="921"/>
    <w:link w:val="858"/>
    <w:rPr>
      <w:rFonts w:cs="Mangal"/>
    </w:rPr>
  </w:style>
  <w:style w:type="paragraph" w:styleId="922">
    <w:name w:val="ConsPlusTitle"/>
    <w:next w:val="922"/>
    <w:link w:val="858"/>
    <w:pPr>
      <w:widowControl w:val="off"/>
    </w:pPr>
    <w:rPr>
      <w:rFonts w:ascii="Arial" w:hAnsi="Arial" w:cs="Arial"/>
      <w:b/>
      <w:color w:val="000000"/>
      <w:lang w:val="ru-RU" w:eastAsia="ar-SA" w:bidi="ar-SA"/>
    </w:rPr>
  </w:style>
  <w:style w:type="paragraph" w:styleId="923">
    <w:name w:val="ConsPlusNormal"/>
    <w:next w:val="923"/>
    <w:link w:val="858"/>
    <w:pPr>
      <w:ind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924">
    <w:name w:val="Нижний колонтитул"/>
    <w:basedOn w:val="858"/>
    <w:next w:val="924"/>
    <w:link w:val="858"/>
    <w:pPr>
      <w:tabs>
        <w:tab w:val="center" w:pos="4677" w:leader="none"/>
        <w:tab w:val="right" w:pos="8786" w:leader="none"/>
      </w:tabs>
    </w:pPr>
  </w:style>
  <w:style w:type="paragraph" w:styleId="925">
    <w:name w:val="ConsPlusNonformat"/>
    <w:next w:val="925"/>
    <w:link w:val="858"/>
    <w:rPr>
      <w:rFonts w:ascii="Courier New" w:hAnsi="Courier New" w:cs="Courier New"/>
      <w:color w:val="000000"/>
      <w:lang w:val="ru-RU" w:eastAsia="ar-SA" w:bidi="ar-SA"/>
    </w:rPr>
  </w:style>
  <w:style w:type="paragraph" w:styleId="926">
    <w:name w:val="Схема документа*"/>
    <w:basedOn w:val="858"/>
    <w:next w:val="926"/>
    <w:link w:val="858"/>
    <w:pPr>
      <w:shd w:val="clear" w:color="auto" w:fill="00007f"/>
    </w:pPr>
    <w:rPr>
      <w:rFonts w:ascii="Tahoma" w:hAnsi="Tahoma" w:cs="Tahoma"/>
      <w:sz w:val="20"/>
      <w:szCs w:val="20"/>
    </w:rPr>
  </w:style>
  <w:style w:type="paragraph" w:styleId="927">
    <w:name w:val="Содержимое врезки"/>
    <w:basedOn w:val="916"/>
    <w:next w:val="927"/>
    <w:link w:val="858"/>
  </w:style>
  <w:style w:type="paragraph" w:styleId="928">
    <w:name w:val="Верхний колонтитул"/>
    <w:basedOn w:val="858"/>
    <w:next w:val="928"/>
    <w:link w:val="858"/>
    <w:pPr>
      <w:tabs>
        <w:tab w:val="center" w:pos="4819" w:leader="none"/>
        <w:tab w:val="right" w:pos="8786" w:leader="none"/>
      </w:tabs>
    </w:pPr>
  </w:style>
  <w:style w:type="character" w:styleId="929" w:default="1">
    <w:name w:val="Default Paragraph Font"/>
    <w:uiPriority w:val="1"/>
    <w:semiHidden/>
    <w:unhideWhenUsed/>
  </w:style>
  <w:style w:type="numbering" w:styleId="930" w:default="1">
    <w:name w:val="No List"/>
    <w:uiPriority w:val="99"/>
    <w:semiHidden/>
    <w:unhideWhenUsed/>
  </w:style>
  <w:style w:type="table" w:styleId="931" w:default="1">
    <w:name w:val="Normal Table"/>
    <w:uiPriority w:val="99"/>
    <w:semiHidden/>
    <w:unhideWhenUsed/>
    <w:tblPr/>
  </w:style>
  <w:style w:type="character" w:styleId="932" w:customStyle="1">
    <w:name w:val="Интернет-ссылка"/>
    <w:link w:val="894"/>
    <w:rPr>
      <w:color w:val="000080"/>
      <w:u w:val="single"/>
      <w:lang w:val="en-US" w:eastAsia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revision>41</cp:revision>
  <dcterms:created xsi:type="dcterms:W3CDTF">2009-04-02T13:54:00Z</dcterms:created>
  <dcterms:modified xsi:type="dcterms:W3CDTF">2023-05-03T12:08:43Z</dcterms:modified>
  <cp:version>786432</cp:version>
</cp:coreProperties>
</file>