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tabs>
          <w:tab w:val="left" w:pos="741" w:leader="none"/>
          <w:tab w:val="left" w:pos="1440" w:leader="none"/>
          <w:tab w:val="left" w:pos="9071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</w:t>
      </w:r>
      <w:r/>
    </w:p>
    <w:p>
      <w:pPr>
        <w:pStyle w:val="852"/>
        <w:jc w:val="center"/>
        <w:tabs>
          <w:tab w:val="left" w:pos="741" w:leader="none"/>
          <w:tab w:val="left" w:pos="1440" w:leader="none"/>
          <w:tab w:val="left" w:pos="9071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/>
    </w:p>
    <w:p>
      <w:pPr>
        <w:pStyle w:val="852"/>
        <w:jc w:val="center"/>
        <w:tabs>
          <w:tab w:val="left" w:pos="741" w:leader="none"/>
          <w:tab w:val="left" w:pos="1440" w:leader="none"/>
          <w:tab w:val="left" w:pos="9071" w:leader="none"/>
        </w:tabs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  <w:r/>
    </w:p>
    <w:p>
      <w:pPr>
        <w:pStyle w:val="852"/>
        <w:jc w:val="center"/>
        <w:tabs>
          <w:tab w:val="left" w:pos="741" w:leader="none"/>
          <w:tab w:val="left" w:pos="1440" w:leader="none"/>
          <w:tab w:val="left" w:pos="9071" w:leader="none"/>
        </w:tabs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  <w:r/>
    </w:p>
    <w:p>
      <w:pPr>
        <w:pStyle w:val="852"/>
        <w:tabs>
          <w:tab w:val="left" w:pos="741" w:leader="none"/>
          <w:tab w:val="left" w:pos="1440" w:leader="none"/>
          <w:tab w:val="left" w:pos="9071" w:leader="none"/>
        </w:tabs>
        <w:rPr>
          <w:b/>
          <w:color w:val="000000"/>
        </w:rPr>
      </w:pPr>
      <w:r>
        <w:rPr>
          <w:color w:val="000000"/>
        </w:rPr>
        <w:t xml:space="preserve">1</w:t>
      </w:r>
      <w:r>
        <w:rPr>
          <w:color w:val="000000"/>
        </w:rPr>
        <w:t xml:space="preserve">4.04.2023</w:t>
      </w:r>
      <w:r>
        <w:rPr>
          <w:b/>
          <w:color w:val="000000"/>
        </w:rPr>
      </w:r>
      <w:r/>
    </w:p>
    <w:p>
      <w:pPr>
        <w:pStyle w:val="852"/>
        <w:ind w:left="0" w:right="-283" w:firstLine="0"/>
        <w:tabs>
          <w:tab w:val="left" w:pos="741" w:leader="none"/>
          <w:tab w:val="left" w:pos="1440" w:leader="none"/>
          <w:tab w:val="left" w:pos="9071" w:leader="none"/>
        </w:tabs>
      </w:pPr>
      <w:r>
        <w:rPr>
          <w:color w:val="auto"/>
        </w:rPr>
      </w:r>
      <w:r>
        <w:rPr>
          <w:color w:val="auto"/>
        </w:rPr>
      </w:r>
      <w:r/>
    </w:p>
    <w:p>
      <w:pPr>
        <w:pStyle w:val="852"/>
        <w:ind w:firstLine="684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соответствии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статьей 264.4</w:t>
      </w:r>
      <w:r>
        <w:rPr>
          <w:color w:val="auto"/>
          <w:sz w:val="28"/>
          <w:szCs w:val="28"/>
        </w:rPr>
        <w:t xml:space="preserve"> Бюджетного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кодекса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Российской Федерации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</w:t>
      </w:r>
      <w:r>
        <w:rPr>
          <w:color w:val="auto"/>
          <w:sz w:val="28"/>
          <w:szCs w:val="28"/>
        </w:rPr>
        <w:t xml:space="preserve">новании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плана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работы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2023</w:t>
      </w:r>
      <w:r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Контрольно-счётной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комиссией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Балтайского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района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проведена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внешняя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проверка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отчётности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финансового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управления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Балтайского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</w:t>
      </w:r>
      <w:r>
        <w:rPr>
          <w:color w:val="auto"/>
          <w:sz w:val="28"/>
          <w:szCs w:val="28"/>
        </w:rPr>
        <w:t xml:space="preserve">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района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(далее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тексту </w:t>
      </w: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финансовое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управление)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2022</w:t>
      </w:r>
      <w:r>
        <w:rPr>
          <w:color w:val="auto"/>
          <w:sz w:val="28"/>
          <w:szCs w:val="28"/>
        </w:rPr>
        <w:t xml:space="preserve"> год.</w:t>
      </w:r>
      <w:r>
        <w:rPr>
          <w:color w:val="auto"/>
          <w:sz w:val="28"/>
          <w:szCs w:val="28"/>
        </w:rPr>
      </w:r>
      <w:r/>
    </w:p>
    <w:p>
      <w:pPr>
        <w:pStyle w:val="867"/>
        <w:ind w:firstLine="741"/>
        <w:jc w:val="both"/>
        <w:widowControl/>
        <w:tabs>
          <w:tab w:val="left" w:pos="741" w:leader="none"/>
          <w:tab w:val="left" w:pos="1440" w:leader="none"/>
          <w:tab w:val="left" w:pos="9071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квартальной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месячной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г. № 191н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191н) было установлено приказом финансового 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30.12.2022 № 33 </w:t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порядке составления и сроках представления в финансовое управление администрации Балтайского муниципального района Саратовской области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годовой бюджетной отчетности об исполнении местного бюджета </w:t>
      </w:r>
      <w:bookmarkStart w:id="0" w:name="undefined"/>
      <w:r>
        <w:rPr>
          <w:color w:val="000000" w:themeColor="text1"/>
        </w:rPr>
      </w:r>
      <w:bookmarkEnd w:id="0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бюджетных учр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еждений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за 2022 год»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следующие сроки: дата предос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годовой отчетности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дата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сдачи отчетности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</w:r>
      <w:r/>
    </w:p>
    <w:p>
      <w:pPr>
        <w:pStyle w:val="852"/>
        <w:ind w:firstLine="708"/>
        <w:tabs>
          <w:tab w:val="left" w:pos="741" w:leader="none"/>
          <w:tab w:val="left" w:pos="1440" w:leader="none"/>
          <w:tab w:val="left" w:pos="9071" w:leader="none"/>
        </w:tabs>
      </w:pPr>
      <w:r>
        <w:rPr>
          <w:color w:val="000000" w:themeColor="text1"/>
          <w:sz w:val="28"/>
          <w:szCs w:val="28"/>
        </w:rPr>
        <w:t xml:space="preserve">При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проведении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проверки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установлено:</w:t>
      </w:r>
      <w:r>
        <w:rPr>
          <w:color w:val="000000" w:themeColor="text1"/>
          <w:sz w:val="28"/>
          <w:szCs w:val="28"/>
        </w:rPr>
      </w:r>
      <w:r/>
    </w:p>
    <w:p>
      <w:pPr>
        <w:pStyle w:val="867"/>
        <w:ind w:firstLine="708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сброшюрованном и пронумерованном виде, с оглавлением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сопроводительным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письмом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подписями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бухгалтера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undefine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главных распорядителей, получателей средств местного бюджета, главных администраторов доходов и источников финансирования дефицита местного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утверждённый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финансового управления о подтверждении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отчётности.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67"/>
        <w:ind w:firstLine="741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отчётности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отчётов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редусмотренных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Инструкцией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191н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включает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следующие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формы: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852"/>
        <w:ind w:firstLine="708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  <w:lang w:val="en-US"/>
        </w:rPr>
        <w:t xml:space="preserve"> </w:t>
      </w:r>
      <w:r>
        <w:rPr>
          <w:color w:val="auto"/>
          <w:sz w:val="28"/>
          <w:szCs w:val="28"/>
        </w:rPr>
        <w:t xml:space="preserve">Баланс </w:t>
      </w:r>
      <w:bookmarkStart w:id="0" w:name="undefined"/>
      <w:r>
        <w:rPr>
          <w:color w:val="auto"/>
        </w:rPr>
      </w:r>
      <w:bookmarkEnd w:id="0"/>
      <w:r>
        <w:rPr>
          <w:color w:val="auto"/>
          <w:sz w:val="28"/>
          <w:szCs w:val="28"/>
        </w:rPr>
        <w:t xml:space="preserve">главного распорядителя, распорядителя, получателя</w:t>
      </w:r>
      <w:r>
        <w:rPr>
          <w:color w:val="auto"/>
          <w:sz w:val="28"/>
          <w:szCs w:val="28"/>
        </w:rPr>
        <w:t xml:space="preserve"> бюджетных</w:t>
      </w:r>
      <w:r>
        <w:rPr>
          <w:color w:val="auto"/>
          <w:sz w:val="28"/>
          <w:szCs w:val="28"/>
        </w:rPr>
        <w:t xml:space="preserve"> средств, главного администратора, администратора </w:t>
      </w:r>
      <w:r>
        <w:rPr>
          <w:color w:val="auto"/>
          <w:sz w:val="28"/>
          <w:szCs w:val="28"/>
        </w:rPr>
        <w:t xml:space="preserve">источников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финансирования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дефицита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доходов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\l "sub_503130" </w:instrText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 0503130)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;</w:t>
      </w:r>
      <w:r>
        <w:rPr>
          <w:color w:val="auto"/>
          <w:sz w:val="28"/>
          <w:szCs w:val="28"/>
        </w:rPr>
      </w:r>
      <w:r/>
    </w:p>
    <w:p>
      <w:pPr>
        <w:pStyle w:val="852"/>
        <w:ind w:firstLine="708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Справка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консолидируемым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расчетам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\l "sub_503125" </w:instrText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 0503</w:t>
      </w:r>
      <w:bookmarkStart w:id="0" w:name="undefined"/>
      <w:r>
        <w:rPr>
          <w:color w:val="auto"/>
        </w:rPr>
      </w:r>
      <w:bookmarkEnd w:id="0"/>
      <w:r>
        <w:rPr>
          <w:color w:val="auto"/>
        </w:rPr>
      </w:r>
      <w:bookmarkStart w:id="0" w:name="undefined"/>
      <w:r>
        <w:rPr>
          <w:color w:val="auto"/>
        </w:rPr>
      </w:r>
      <w:bookmarkEnd w:id="0"/>
      <w:r>
        <w:rPr>
          <w:color w:val="auto"/>
          <w:sz w:val="28"/>
          <w:szCs w:val="28"/>
        </w:rPr>
        <w:t xml:space="preserve">125);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</w:r>
      <w:r/>
    </w:p>
    <w:p>
      <w:pPr>
        <w:pStyle w:val="852"/>
        <w:ind w:firstLine="708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  <w:lang w:val="en-US"/>
        </w:rPr>
        <w:t xml:space="preserve"> </w:t>
      </w:r>
      <w:r>
        <w:rPr>
          <w:color w:val="auto"/>
          <w:sz w:val="28"/>
          <w:szCs w:val="28"/>
        </w:rPr>
        <w:t xml:space="preserve">Справка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заключению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счетов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учета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отчетного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финансового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\l "sub_503110" </w:instrText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 050</w:t>
      </w:r>
      <w:bookmarkStart w:id="0" w:name="undefined"/>
      <w:r>
        <w:rPr>
          <w:color w:val="auto"/>
        </w:rPr>
      </w:r>
      <w:bookmarkEnd w:id="0"/>
      <w:r>
        <w:rPr>
          <w:color w:val="auto"/>
          <w:sz w:val="28"/>
          <w:szCs w:val="28"/>
        </w:rPr>
        <w:t xml:space="preserve">3110);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</w:r>
      <w:r/>
    </w:p>
    <w:p>
      <w:pPr>
        <w:pStyle w:val="852"/>
        <w:ind w:firstLine="708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  <w:lang w:val="en-US"/>
        </w:rPr>
        <w:t xml:space="preserve"> </w:t>
      </w:r>
      <w:r>
        <w:rPr>
          <w:color w:val="auto"/>
          <w:sz w:val="28"/>
          <w:szCs w:val="28"/>
        </w:rPr>
        <w:t xml:space="preserve">Отчет об исполнении бюджета главного распорядителя, </w:t>
      </w:r>
      <w:r>
        <w:rPr>
          <w:color w:val="auto"/>
          <w:sz w:val="28"/>
          <w:szCs w:val="28"/>
        </w:rPr>
        <w:t xml:space="preserve">распорядителя,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получа</w:t>
      </w:r>
      <w:r>
        <w:rPr>
          <w:color w:val="auto"/>
          <w:sz w:val="28"/>
          <w:szCs w:val="28"/>
        </w:rPr>
        <w:t xml:space="preserve">теля бюджетных средств, главного администратора, администратора источников финансирования дефицита бюджета, 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администратора, администратора доходов бюджета </w:t>
      </w:r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\l "sub_503127" </w:instrText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 0503127);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</w:r>
      <w:r/>
    </w:p>
    <w:p>
      <w:pPr>
        <w:pStyle w:val="852"/>
        <w:ind w:firstLine="708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Отчет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принятых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обязательствах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\l "sub_503128" </w:instrText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 0503128);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</w:r>
      <w:r/>
    </w:p>
    <w:p>
      <w:pPr>
        <w:pStyle w:val="852"/>
        <w:ind w:firstLine="708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color w:val="auto"/>
        </w:rPr>
      </w:r>
      <w:bookmarkStart w:id="0" w:name="undefined"/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Отчет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финансовых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результатах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деятельности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\l "sub_503121" </w:instrText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 0503121);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</w:r>
      <w:r/>
    </w:p>
    <w:p>
      <w:pPr>
        <w:pStyle w:val="852"/>
        <w:ind w:firstLine="708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color w:val="auto"/>
        </w:rPr>
      </w:r>
      <w:bookmarkEnd w:id="0"/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Отчет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движении денежных средств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\l "sub_503121" </w:instrText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 0503123);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</w:r>
      <w:r/>
    </w:p>
    <w:p>
      <w:pPr>
        <w:pStyle w:val="852"/>
        <w:ind w:firstLine="708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Пояснительная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записка</w:t>
      </w:r>
      <w:r>
        <w:rPr>
          <w:color w:val="auto"/>
          <w:sz w:val="28"/>
          <w:szCs w:val="28"/>
        </w:rPr>
        <w:t xml:space="preserve"> </w:t>
      </w:r>
      <w:bookmarkStart w:id="0" w:name="undefined"/>
      <w:r>
        <w:rPr>
          <w:color w:val="auto"/>
        </w:rPr>
      </w:r>
      <w:bookmarkEnd w:id="0"/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\l "sub_503160" </w:instrText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 xml:space="preserve">ф. 0503160)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.</w:t>
      </w:r>
      <w:r>
        <w:rPr>
          <w:color w:val="auto"/>
          <w:sz w:val="28"/>
          <w:szCs w:val="28"/>
        </w:rPr>
      </w:r>
      <w:r/>
    </w:p>
    <w:p>
      <w:pPr>
        <w:pStyle w:val="852"/>
        <w:ind w:firstLine="741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соответствии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п.</w:t>
      </w:r>
      <w:r>
        <w:rPr>
          <w:color w:val="auto"/>
          <w:sz w:val="28"/>
          <w:szCs w:val="28"/>
          <w:lang w:val="en-US"/>
        </w:rPr>
        <w:t xml:space="preserve"> </w:t>
      </w:r>
      <w:r>
        <w:rPr>
          <w:color w:val="auto"/>
          <w:sz w:val="28"/>
          <w:szCs w:val="28"/>
        </w:rPr>
        <w:t xml:space="preserve">8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Инструкции № </w:t>
      </w:r>
      <w:r>
        <w:rPr>
          <w:color w:val="auto"/>
          <w:sz w:val="28"/>
          <w:szCs w:val="28"/>
        </w:rPr>
        <w:t xml:space="preserve">191н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bookmarkStart w:id="0" w:name="undefined"/>
      <w:r>
        <w:rPr>
          <w:color w:val="auto"/>
          <w:sz w:val="28"/>
          <w:szCs w:val="28"/>
        </w:rPr>
        <w:t xml:space="preserve">Пояснительной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записке</w:t>
      </w:r>
      <w:r>
        <w:rPr>
          <w:color w:val="auto"/>
          <w:sz w:val="28"/>
          <w:szCs w:val="28"/>
        </w:rPr>
        <w:t xml:space="preserve"> </w:t>
      </w:r>
      <w:bookmarkEnd w:id="0"/>
      <w:r>
        <w:rPr>
          <w:color w:val="auto"/>
          <w:sz w:val="28"/>
          <w:szCs w:val="28"/>
        </w:rPr>
        <w:t xml:space="preserve">отражена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информация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составленных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формах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отчётности,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которых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все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показатели не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имеют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числовых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значений.</w:t>
      </w:r>
      <w:r>
        <w:rPr>
          <w:color w:val="auto"/>
          <w:sz w:val="28"/>
          <w:szCs w:val="28"/>
        </w:rPr>
      </w:r>
      <w:r/>
    </w:p>
    <w:p>
      <w:pPr>
        <w:pStyle w:val="852"/>
        <w:ind w:firstLine="741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color w:val="auto"/>
          <w:sz w:val="28"/>
          <w:szCs w:val="28"/>
        </w:rPr>
        <w:t xml:space="preserve">3. </w:t>
      </w:r>
      <w:r>
        <w:rPr>
          <w:color w:val="auto"/>
          <w:sz w:val="28"/>
          <w:szCs w:val="28"/>
        </w:rPr>
        <w:t xml:space="preserve">Бюджетная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</w:t>
      </w:r>
      <w:r>
        <w:rPr>
          <w:color w:val="auto"/>
          <w:sz w:val="28"/>
          <w:szCs w:val="28"/>
        </w:rPr>
        <w:t xml:space="preserve">ётность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соответствии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п. </w:t>
      </w:r>
      <w:r>
        <w:rPr>
          <w:color w:val="auto"/>
          <w:sz w:val="28"/>
          <w:szCs w:val="28"/>
        </w:rPr>
        <w:t xml:space="preserve">9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Инструкции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№</w:t>
      </w:r>
      <w:r>
        <w:rPr>
          <w:color w:val="auto"/>
          <w:sz w:val="28"/>
          <w:szCs w:val="28"/>
          <w:lang w:val="en-US"/>
        </w:rPr>
        <w:t xml:space="preserve"> </w:t>
      </w:r>
      <w:r>
        <w:rPr>
          <w:color w:val="auto"/>
          <w:sz w:val="28"/>
          <w:szCs w:val="28"/>
        </w:rPr>
        <w:t xml:space="preserve">191н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составлена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нарастающим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итогом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начала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рублях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точностью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второго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десятичного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знака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после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запятой.</w:t>
      </w:r>
      <w:r>
        <w:rPr>
          <w:color w:val="auto"/>
          <w:sz w:val="28"/>
          <w:szCs w:val="28"/>
        </w:rPr>
      </w:r>
      <w:r/>
    </w:p>
    <w:p>
      <w:pPr>
        <w:pStyle w:val="852"/>
        <w:ind w:firstLine="741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color w:val="auto"/>
          <w:sz w:val="28"/>
          <w:szCs w:val="28"/>
        </w:rPr>
        <w:t xml:space="preserve">4. </w:t>
      </w:r>
      <w:r>
        <w:rPr>
          <w:color w:val="auto"/>
          <w:sz w:val="28"/>
          <w:szCs w:val="28"/>
        </w:rPr>
        <w:t xml:space="preserve">При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сопоставлении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данных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</w:t>
      </w:r>
      <w:r>
        <w:rPr>
          <w:color w:val="auto"/>
          <w:sz w:val="28"/>
          <w:szCs w:val="28"/>
        </w:rPr>
        <w:t xml:space="preserve">алансов</w:t>
      </w:r>
      <w:r>
        <w:rPr>
          <w:color w:val="auto"/>
          <w:sz w:val="28"/>
          <w:szCs w:val="28"/>
        </w:rPr>
        <w:t xml:space="preserve"> </w:t>
      </w:r>
      <w:bookmarkStart w:id="0" w:name="undefined"/>
      <w:r>
        <w:rPr>
          <w:color w:val="auto"/>
          <w:sz w:val="28"/>
          <w:szCs w:val="28"/>
        </w:rPr>
        <w:t xml:space="preserve">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распорядителя,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распорядителя, получателя бюджетных средств, </w:t>
      </w:r>
      <w:r>
        <w:rPr>
          <w:color w:val="auto"/>
          <w:sz w:val="28"/>
          <w:szCs w:val="28"/>
        </w:rPr>
        <w:t xml:space="preserve">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 источников финансирования дефицита</w:t>
      </w:r>
      <w:r>
        <w:rPr>
          <w:color w:val="auto"/>
          <w:sz w:val="28"/>
          <w:szCs w:val="28"/>
        </w:rPr>
        <w:t xml:space="preserve"> бюджета,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доходов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бюджета</w:t>
      </w:r>
      <w:r>
        <w:rPr>
          <w:color w:val="auto"/>
          <w:sz w:val="28"/>
          <w:szCs w:val="28"/>
        </w:rPr>
        <w:t xml:space="preserve"> </w:t>
      </w:r>
      <w:bookmarkEnd w:id="0"/>
      <w:r>
        <w:rPr>
          <w:color w:val="auto"/>
          <w:sz w:val="28"/>
          <w:szCs w:val="28"/>
        </w:rPr>
        <w:t xml:space="preserve">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конец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предшествующего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проверяемому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периоду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начало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отчётного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периода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установлено,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что </w:t>
      </w:r>
      <w:r>
        <w:rPr>
          <w:color w:val="auto"/>
          <w:sz w:val="28"/>
          <w:szCs w:val="28"/>
        </w:rPr>
        <w:t xml:space="preserve">показатели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счетам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корректно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перенесены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предыдущего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периода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содержат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искажений.</w:t>
      </w:r>
      <w:r>
        <w:rPr>
          <w:color w:val="auto"/>
          <w:sz w:val="28"/>
          <w:szCs w:val="28"/>
        </w:rPr>
      </w:r>
      <w:r/>
    </w:p>
    <w:p>
      <w:pPr>
        <w:pStyle w:val="867"/>
        <w:ind w:firstLine="709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Несоответствие показателей между формами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внутренних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противоречий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отчетности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установлено.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869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состоянию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января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дебиторская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задолженность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отсутствует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кредиторская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задолженность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201,4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 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тыс.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просроченная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кредиторская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задолженность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отсутствует.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869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</w:r>
      <w:r/>
    </w:p>
    <w:p>
      <w:pPr>
        <w:pStyle w:val="869"/>
        <w:jc w:val="both"/>
        <w:tabs>
          <w:tab w:val="left" w:pos="741" w:leader="none"/>
          <w:tab w:val="left" w:pos="1440" w:leader="none"/>
          <w:tab w:val="left" w:pos="9071" w:leader="none"/>
        </w:tabs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</w:r>
      <w:r/>
    </w:p>
    <w:p>
      <w:pPr>
        <w:pStyle w:val="869"/>
        <w:jc w:val="both"/>
        <w:tabs>
          <w:tab w:val="left" w:pos="741" w:leader="none"/>
          <w:tab w:val="left" w:pos="1440" w:leader="none"/>
          <w:tab w:val="left" w:pos="9071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709" w:right="1134" w:bottom="850" w:left="1701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 Unicode MS">
    <w:panose1 w:val="020B0604020202020204"/>
  </w:font>
  <w:font w:name="Mangal">
    <w:panose1 w:val="02040503050203030202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ind w:right="360"/>
      <w:tabs>
        <w:tab w:val="right" w:pos="8710" w:leader="none"/>
        <w:tab w:val="clear" w:pos="9070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page">
                <wp:posOffset>6725920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68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>
                            <w:t xml:space="preserve">2</w:t>
                          </w:r>
                          <w:r>
                            <w:fldChar w:fldCharType="end"/>
                          </w:r>
                          <w:r/>
                        </w:p>
                        <w:p>
                          <w:pPr>
                            <w:pStyle w:val="852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page;margin-left:529.6pt;mso-position-horizontal:absolute;mso-position-vertical-relative:text;margin-top:0.0pt;mso-position-vertical:absolute;width:6.0pt;height:13.8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868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>
                      <w:t xml:space="preserve">2</w:t>
                    </w:r>
                    <w:r>
                      <w:fldChar w:fldCharType="end"/>
                    </w:r>
                    <w:r/>
                  </w:p>
                  <w:p>
                    <w:pPr>
                      <w:pStyle w:val="852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53"/>
      <w:isLgl w:val="false"/>
      <w:suff w:val="nothing"/>
      <w:lvlText w:val=""/>
      <w:lvlJc w:val="left"/>
      <w:pPr>
        <w:pStyle w:val="852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52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52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52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52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52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52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5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52"/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2"/>
    <w:next w:val="852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52"/>
    <w:next w:val="852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52"/>
    <w:next w:val="852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52"/>
    <w:next w:val="852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852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52"/>
    <w:next w:val="852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basedOn w:val="852"/>
    <w:next w:val="852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basedOn w:val="852"/>
    <w:next w:val="852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2"/>
    <w:next w:val="852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2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basedOn w:val="852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next w:val="852"/>
    <w:link w:val="852"/>
    <w:qFormat/>
    <w:rPr>
      <w:color w:val="000000"/>
      <w:sz w:val="24"/>
      <w:szCs w:val="24"/>
      <w:lang w:val="ru-RU" w:eastAsia="ar-SA" w:bidi="ar-SA"/>
    </w:rPr>
  </w:style>
  <w:style w:type="paragraph" w:styleId="853">
    <w:name w:val="Заголовок 1"/>
    <w:basedOn w:val="852"/>
    <w:next w:val="852"/>
    <w:link w:val="852"/>
    <w:qFormat/>
    <w:pPr>
      <w:numPr>
        <w:ilvl w:val="0"/>
        <w:numId w:val="1"/>
      </w:numPr>
      <w:jc w:val="center"/>
      <w:spacing w:before="108" w:after="108"/>
      <w:widowControl w:val="off"/>
      <w:outlineLvl w:val="0"/>
    </w:pPr>
    <w:rPr>
      <w:rFonts w:ascii="Arial" w:hAnsi="Arial" w:cs="Arial"/>
      <w:b/>
      <w:bCs w:val="0"/>
      <w:color w:val="26282f"/>
      <w:sz w:val="26"/>
      <w:szCs w:val="26"/>
    </w:rPr>
  </w:style>
  <w:style w:type="character" w:styleId="854">
    <w:name w:val="Основной шрифт абзаца"/>
    <w:next w:val="854"/>
    <w:link w:val="852"/>
    <w:semiHidden/>
  </w:style>
  <w:style w:type="table" w:styleId="855">
    <w:name w:val="Обычная таблица"/>
    <w:next w:val="855"/>
    <w:link w:val="852"/>
    <w:semiHidden/>
    <w:tblPr/>
  </w:style>
  <w:style w:type="numbering" w:styleId="856">
    <w:name w:val="Нет списка"/>
    <w:next w:val="856"/>
    <w:link w:val="852"/>
    <w:semiHidden/>
  </w:style>
  <w:style w:type="character" w:styleId="857">
    <w:name w:val="Основной шрифт абзаца1"/>
    <w:next w:val="857"/>
    <w:link w:val="852"/>
  </w:style>
  <w:style w:type="character" w:styleId="858">
    <w:name w:val="Номер страницы"/>
    <w:basedOn w:val="857"/>
    <w:next w:val="858"/>
    <w:link w:val="852"/>
  </w:style>
  <w:style w:type="character" w:styleId="859">
    <w:name w:val="Гипертекстовая ссылка"/>
    <w:basedOn w:val="857"/>
    <w:next w:val="859"/>
    <w:link w:val="852"/>
    <w:rPr>
      <w:b/>
      <w:bCs w:val="0"/>
      <w:color w:val="007f00"/>
    </w:rPr>
  </w:style>
  <w:style w:type="character" w:styleId="860">
    <w:name w:val="Гиперссылка"/>
    <w:basedOn w:val="857"/>
    <w:next w:val="860"/>
    <w:link w:val="852"/>
    <w:rPr>
      <w:color w:val="0000ff"/>
      <w:u w:val="single"/>
    </w:rPr>
  </w:style>
  <w:style w:type="paragraph" w:styleId="861">
    <w:name w:val="Заголовок"/>
    <w:basedOn w:val="852"/>
    <w:next w:val="862"/>
    <w:link w:val="852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862">
    <w:name w:val="Основной текст"/>
    <w:basedOn w:val="852"/>
    <w:next w:val="862"/>
    <w:link w:val="852"/>
    <w:pPr>
      <w:spacing w:before="0" w:after="120"/>
    </w:pPr>
  </w:style>
  <w:style w:type="paragraph" w:styleId="863">
    <w:name w:val="Список"/>
    <w:basedOn w:val="862"/>
    <w:next w:val="863"/>
    <w:link w:val="852"/>
    <w:rPr>
      <w:rFonts w:cs="Mangal"/>
    </w:rPr>
  </w:style>
  <w:style w:type="paragraph" w:styleId="864">
    <w:name w:val="Название1"/>
    <w:basedOn w:val="852"/>
    <w:next w:val="864"/>
    <w:link w:val="852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65">
    <w:name w:val="Указатель1"/>
    <w:basedOn w:val="852"/>
    <w:next w:val="865"/>
    <w:link w:val="852"/>
    <w:pPr>
      <w:suppressLineNumbers/>
    </w:pPr>
    <w:rPr>
      <w:rFonts w:cs="Mangal"/>
    </w:rPr>
  </w:style>
  <w:style w:type="paragraph" w:styleId="866">
    <w:name w:val="ConsPlusTitle"/>
    <w:next w:val="866"/>
    <w:link w:val="852"/>
    <w:pPr>
      <w:widowControl w:val="off"/>
    </w:pPr>
    <w:rPr>
      <w:rFonts w:ascii="Arial" w:hAnsi="Arial" w:cs="Arial"/>
      <w:b/>
      <w:color w:val="000000"/>
      <w:lang w:val="ru-RU" w:eastAsia="ar-SA" w:bidi="ar-SA"/>
    </w:rPr>
  </w:style>
  <w:style w:type="paragraph" w:styleId="867">
    <w:name w:val="ConsPlusNormal"/>
    <w:next w:val="867"/>
    <w:link w:val="852"/>
    <w:pPr>
      <w:ind w:firstLine="720"/>
      <w:widowControl w:val="off"/>
    </w:pPr>
    <w:rPr>
      <w:rFonts w:ascii="Arial" w:hAnsi="Arial" w:cs="Arial"/>
      <w:color w:val="000000"/>
      <w:lang w:val="ru-RU" w:eastAsia="ar-SA" w:bidi="ar-SA"/>
    </w:rPr>
  </w:style>
  <w:style w:type="paragraph" w:styleId="868">
    <w:name w:val="Нижний колонтитул"/>
    <w:basedOn w:val="852"/>
    <w:next w:val="868"/>
    <w:link w:val="852"/>
    <w:pPr>
      <w:tabs>
        <w:tab w:val="center" w:pos="4677" w:leader="none"/>
        <w:tab w:val="right" w:pos="9070" w:leader="none"/>
      </w:tabs>
    </w:pPr>
  </w:style>
  <w:style w:type="paragraph" w:styleId="869">
    <w:name w:val="ConsPlusNonformat"/>
    <w:next w:val="869"/>
    <w:link w:val="852"/>
    <w:rPr>
      <w:rFonts w:ascii="Courier New" w:hAnsi="Courier New" w:cs="Courier New"/>
      <w:color w:val="000000"/>
      <w:lang w:val="ru-RU" w:eastAsia="ar-SA" w:bidi="ar-SA"/>
    </w:rPr>
  </w:style>
  <w:style w:type="paragraph" w:styleId="870">
    <w:name w:val="Схема документа1"/>
    <w:basedOn w:val="852"/>
    <w:next w:val="870"/>
    <w:link w:val="852"/>
    <w:pPr>
      <w:shd w:val="clear" w:color="auto" w:fill="00007f"/>
    </w:pPr>
    <w:rPr>
      <w:rFonts w:ascii="Tahoma" w:hAnsi="Tahoma" w:cs="Tahoma"/>
      <w:sz w:val="20"/>
      <w:szCs w:val="20"/>
    </w:rPr>
  </w:style>
  <w:style w:type="paragraph" w:styleId="871">
    <w:name w:val="Содержимое врезки"/>
    <w:basedOn w:val="862"/>
    <w:next w:val="871"/>
    <w:link w:val="852"/>
  </w:style>
  <w:style w:type="paragraph" w:styleId="872">
    <w:name w:val="Верхний колонтитул"/>
    <w:basedOn w:val="852"/>
    <w:next w:val="872"/>
    <w:link w:val="852"/>
    <w:pPr>
      <w:tabs>
        <w:tab w:val="center" w:pos="4819" w:leader="none"/>
        <w:tab w:val="right" w:pos="9638" w:leader="none"/>
      </w:tabs>
      <w:suppressLineNumbers/>
    </w:pPr>
  </w:style>
  <w:style w:type="character" w:styleId="873" w:default="1">
    <w:name w:val="Default Paragraph Font"/>
    <w:uiPriority w:val="1"/>
    <w:semiHidden/>
    <w:unhideWhenUsed/>
  </w:style>
  <w:style w:type="numbering" w:styleId="874" w:default="1">
    <w:name w:val="No List"/>
    <w:uiPriority w:val="99"/>
    <w:semiHidden/>
    <w:unhideWhenUsed/>
  </w:style>
  <w:style w:type="table" w:styleId="8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MoBIL GROUP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revision>30</cp:revision>
  <dcterms:created xsi:type="dcterms:W3CDTF">2009-04-02T13:54:00Z</dcterms:created>
  <dcterms:modified xsi:type="dcterms:W3CDTF">2023-05-03T12:07:48Z</dcterms:modified>
  <cp:version>786432</cp:version>
</cp:coreProperties>
</file>