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84" w:rsidRPr="00F17F84" w:rsidRDefault="00F17F84" w:rsidP="00F17F84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1AC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                        </w:t>
      </w:r>
    </w:p>
    <w:p w:rsidR="00F17F84" w:rsidRPr="00F17F84" w:rsidRDefault="00F17F84" w:rsidP="009D60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>АДМИНИСТРАЦИЯ</w:t>
      </w:r>
    </w:p>
    <w:p w:rsidR="00F17F84" w:rsidRPr="00F17F84" w:rsidRDefault="00E85417" w:rsidP="009D609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ЦАРЕВЩИНСКОГО 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МУНИЦИПАЛЬНОГО ОБРАЗОВАНИЯ БАЛТАЙСКОГО МУНИЦИПАЛЬНОГО РАЙОНА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</w:pPr>
      <w:proofErr w:type="gramStart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>П</w:t>
      </w:r>
      <w:proofErr w:type="gramEnd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 xml:space="preserve"> О С Т А Н О В Л Е Н И Е</w:t>
      </w:r>
    </w:p>
    <w:p w:rsidR="00F17F84" w:rsidRPr="00F17F84" w:rsidRDefault="00036464" w:rsidP="00036464">
      <w:pPr>
        <w:tabs>
          <w:tab w:val="left" w:pos="0"/>
          <w:tab w:val="left" w:pos="708"/>
          <w:tab w:val="center" w:pos="4677"/>
          <w:tab w:val="right" w:pos="9355"/>
        </w:tabs>
        <w:suppressAutoHyphens/>
        <w:spacing w:before="80" w:after="0" w:line="288" w:lineRule="auto"/>
        <w:ind w:left="-142" w:firstLine="142"/>
        <w:jc w:val="center"/>
        <w:rPr>
          <w:rFonts w:ascii="Times New Roman" w:eastAsia="Times New Roman" w:hAnsi="Times New Roman" w:cs="Times New Roman"/>
          <w:spacing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F17F84" w:rsidRPr="009D6091" w:rsidRDefault="0026696B" w:rsidP="00E85417">
                  <w:pPr>
                    <w:tabs>
                      <w:tab w:val="left" w:pos="1985"/>
                    </w:tabs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7518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25329" w:rsidRPr="0072532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11.11.2024</w:t>
                  </w:r>
                  <w:r w:rsidR="007253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7F84"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725329" w:rsidRPr="0072532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61</w:t>
                  </w: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E85417" w:rsidRPr="00526010" w:rsidRDefault="00F17F84" w:rsidP="00526010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с.</w:t>
      </w:r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>Царевщина</w:t>
      </w:r>
      <w:proofErr w:type="spellEnd"/>
    </w:p>
    <w:p w:rsidR="00C8159F" w:rsidRPr="00C8159F" w:rsidRDefault="00E85417" w:rsidP="00C815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proofErr w:type="gramStart"/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59F" w:rsidRDefault="00C8159F" w:rsidP="00C81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417" w:rsidRPr="00C8159F" w:rsidRDefault="00F17F84" w:rsidP="00C81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на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7841E2" w:rsidRPr="009D6091" w:rsidRDefault="00E85417" w:rsidP="009D6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8159F" w:rsidRPr="00C8159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45FD">
        <w:rPr>
          <w:rFonts w:ascii="Times New Roman" w:hAnsi="Times New Roman" w:cs="Times New Roman"/>
          <w:b/>
          <w:sz w:val="28"/>
          <w:szCs w:val="28"/>
        </w:rPr>
        <w:t>2025</w:t>
      </w:r>
      <w:r w:rsidR="00C8159F" w:rsidRPr="00C8159F">
        <w:rPr>
          <w:rFonts w:ascii="Times New Roman" w:hAnsi="Times New Roman" w:cs="Times New Roman"/>
          <w:b/>
          <w:sz w:val="28"/>
          <w:szCs w:val="28"/>
        </w:rPr>
        <w:t>г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»</w:t>
      </w:r>
    </w:p>
    <w:p w:rsidR="00C8159F" w:rsidRPr="00C8159F" w:rsidRDefault="00C8159F" w:rsidP="00C815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5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8159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526010" w:rsidRPr="001C24BC">
        <w:rPr>
          <w:rFonts w:ascii="Times New Roman" w:hAnsi="Times New Roman"/>
          <w:iCs/>
          <w:sz w:val="28"/>
          <w:szCs w:val="28"/>
          <w:lang w:eastAsia="ru-RU"/>
        </w:rPr>
        <w:t>В целях</w:t>
      </w:r>
      <w:r w:rsidR="00526010" w:rsidRPr="001C24BC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комплексного решения проблемы повышения эффективности использования энергетических ресурсов в организациях бюджетной сферы района, сокращения расходов бюджетов на обеспечение энергетическими ресурсами, в соответствии с Федеральным законом от 23 ноября 2009 года </w:t>
      </w:r>
      <w:r w:rsidR="008822E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="00526010" w:rsidRPr="001C24BC">
        <w:rPr>
          <w:rFonts w:ascii="Times New Roman" w:eastAsia="Times New Roman" w:hAnsi="Times New Roman"/>
          <w:sz w:val="28"/>
          <w:szCs w:val="28"/>
          <w:lang w:eastAsia="ar-SA"/>
        </w:rPr>
        <w:t>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52601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815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159F">
        <w:rPr>
          <w:rFonts w:ascii="Times New Roman" w:hAnsi="Times New Roman" w:cs="Times New Roman"/>
          <w:sz w:val="28"/>
          <w:szCs w:val="28"/>
        </w:rPr>
        <w:t>постановлением администрации Царевщинского муниципального образования от 21.07.2014 №</w:t>
      </w:r>
      <w:r w:rsidR="008822EF"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>46 «Об утверждении Положения</w:t>
      </w:r>
      <w:proofErr w:type="gramEnd"/>
      <w:r w:rsidRPr="00C8159F">
        <w:rPr>
          <w:rFonts w:ascii="Times New Roman" w:hAnsi="Times New Roman" w:cs="Times New Roman"/>
          <w:sz w:val="28"/>
          <w:szCs w:val="28"/>
        </w:rPr>
        <w:t xml:space="preserve"> о порядке принятия решений о разработке муниципальных программ Царевщинского муниципального образования Балтайского муниципального района», </w:t>
      </w:r>
      <w:r w:rsidRPr="00C8159F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F60461">
        <w:rPr>
          <w:rFonts w:ascii="Times New Roman" w:hAnsi="Times New Roman" w:cs="Times New Roman"/>
          <w:bCs/>
          <w:sz w:val="28"/>
          <w:szCs w:val="28"/>
        </w:rPr>
        <w:t>ом</w:t>
      </w:r>
      <w:r w:rsidRPr="00C8159F">
        <w:rPr>
          <w:rFonts w:ascii="Times New Roman" w:hAnsi="Times New Roman" w:cs="Times New Roman"/>
          <w:bCs/>
          <w:sz w:val="28"/>
          <w:szCs w:val="28"/>
        </w:rPr>
        <w:t xml:space="preserve">  Царевщинского  муниципального  образования,</w:t>
      </w:r>
    </w:p>
    <w:p w:rsidR="007841E2" w:rsidRDefault="007841E2" w:rsidP="00C8159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1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8159F" w:rsidRPr="00C8159F" w:rsidRDefault="00C8159F" w:rsidP="00882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159F"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«Энергосбережение и повышение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на территории Царевщинского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8159F">
        <w:rPr>
          <w:rFonts w:ascii="Times New Roman" w:hAnsi="Times New Roman" w:cs="Times New Roman"/>
          <w:sz w:val="28"/>
          <w:szCs w:val="28"/>
        </w:rPr>
        <w:t xml:space="preserve"> на </w:t>
      </w:r>
      <w:r w:rsidR="00AE45FD">
        <w:rPr>
          <w:rFonts w:ascii="Times New Roman" w:hAnsi="Times New Roman" w:cs="Times New Roman"/>
          <w:sz w:val="28"/>
          <w:szCs w:val="28"/>
        </w:rPr>
        <w:t>2025</w:t>
      </w:r>
      <w:r w:rsidRPr="00C8159F">
        <w:rPr>
          <w:rFonts w:ascii="Times New Roman" w:hAnsi="Times New Roman" w:cs="Times New Roman"/>
          <w:sz w:val="28"/>
          <w:szCs w:val="28"/>
        </w:rPr>
        <w:t>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:rsidR="00C8159F" w:rsidRPr="00C8159F" w:rsidRDefault="00C8159F" w:rsidP="0088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color w:val="000000"/>
          <w:sz w:val="28"/>
          <w:szCs w:val="28"/>
        </w:rPr>
        <w:t>2.Главному специалисту администрации Царевщинского муниципального образования (Моисеева Н.С.) предусмотреть при формировании проекта местного бюджета выделение средств на реализацию  мероприятий программы.</w:t>
      </w:r>
    </w:p>
    <w:p w:rsidR="00C8159F" w:rsidRPr="00C8159F" w:rsidRDefault="00C8159F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</w:t>
      </w:r>
      <w:r w:rsidR="00AE45FD">
        <w:rPr>
          <w:rFonts w:ascii="Times New Roman" w:hAnsi="Times New Roman" w:cs="Times New Roman"/>
          <w:sz w:val="28"/>
          <w:szCs w:val="28"/>
        </w:rPr>
        <w:t>2025</w:t>
      </w:r>
      <w:r w:rsidRPr="00C8159F">
        <w:rPr>
          <w:rFonts w:ascii="Times New Roman" w:hAnsi="Times New Roman" w:cs="Times New Roman"/>
          <w:sz w:val="28"/>
          <w:szCs w:val="28"/>
        </w:rPr>
        <w:t xml:space="preserve"> года и подлежит обнародованию.</w:t>
      </w:r>
    </w:p>
    <w:p w:rsidR="00307292" w:rsidRPr="009D6091" w:rsidRDefault="00C8159F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1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59F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5FD" w:rsidRDefault="00AE45FD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5FD" w:rsidRDefault="00AE45FD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71AC" w:rsidRPr="00CB71AC" w:rsidRDefault="00CB71AC" w:rsidP="00CB7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1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B71AC">
        <w:rPr>
          <w:rFonts w:ascii="Times New Roman" w:hAnsi="Times New Roman" w:cs="Times New Roman"/>
          <w:b/>
          <w:sz w:val="28"/>
          <w:szCs w:val="28"/>
        </w:rPr>
        <w:t>Царевщинского</w:t>
      </w:r>
      <w:proofErr w:type="spellEnd"/>
    </w:p>
    <w:p w:rsidR="00CB71AC" w:rsidRPr="00CB71AC" w:rsidRDefault="00CB71AC" w:rsidP="00CB7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1A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proofErr w:type="spellStart"/>
      <w:r w:rsidRPr="00CB71AC">
        <w:rPr>
          <w:rFonts w:ascii="Times New Roman" w:hAnsi="Times New Roman" w:cs="Times New Roman"/>
          <w:b/>
          <w:sz w:val="28"/>
          <w:szCs w:val="28"/>
        </w:rPr>
        <w:t>А.В.Петров</w:t>
      </w:r>
      <w:proofErr w:type="spellEnd"/>
    </w:p>
    <w:p w:rsidR="00CB71AC" w:rsidRDefault="00CB71AC" w:rsidP="00CB71AC">
      <w:pPr>
        <w:jc w:val="both"/>
        <w:rPr>
          <w:b/>
          <w:sz w:val="28"/>
          <w:szCs w:val="28"/>
        </w:rPr>
      </w:pPr>
    </w:p>
    <w:p w:rsidR="00AE45FD" w:rsidRDefault="00AE45FD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0461" w:rsidRDefault="00F60461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6464" w:rsidRDefault="00036464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6464" w:rsidRDefault="0075181C" w:rsidP="000364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3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36464" w:rsidRDefault="0075181C" w:rsidP="000364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Царевщинского</w:t>
      </w:r>
      <w:proofErr w:type="spellEnd"/>
    </w:p>
    <w:p w:rsidR="0075181C" w:rsidRDefault="0075181C" w:rsidP="000364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6696B" w:rsidRPr="0026696B" w:rsidRDefault="0026696B" w:rsidP="0026696B">
      <w:pPr>
        <w:tabs>
          <w:tab w:val="left" w:pos="1985"/>
        </w:tabs>
        <w:ind w:left="142" w:hanging="14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25329">
        <w:rPr>
          <w:rFonts w:ascii="Times New Roman" w:hAnsi="Times New Roman" w:cs="Times New Roman"/>
          <w:sz w:val="28"/>
          <w:szCs w:val="28"/>
        </w:rPr>
        <w:t xml:space="preserve"> 11.11.2024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091">
        <w:rPr>
          <w:rFonts w:ascii="Times New Roman" w:hAnsi="Times New Roman" w:cs="Times New Roman"/>
          <w:sz w:val="28"/>
          <w:szCs w:val="28"/>
        </w:rPr>
        <w:t xml:space="preserve"> </w:t>
      </w:r>
      <w:r w:rsidRPr="00E854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329">
        <w:rPr>
          <w:rFonts w:ascii="Times New Roman" w:hAnsi="Times New Roman" w:cs="Times New Roman"/>
          <w:sz w:val="28"/>
          <w:szCs w:val="28"/>
        </w:rPr>
        <w:t>61</w:t>
      </w:r>
    </w:p>
    <w:p w:rsidR="0075181C" w:rsidRDefault="0075181C" w:rsidP="0075181C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jc w:val="both"/>
        <w:rPr>
          <w:sz w:val="28"/>
          <w:szCs w:val="28"/>
        </w:rPr>
      </w:pPr>
    </w:p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>
      <w:pPr>
        <w:rPr>
          <w:sz w:val="52"/>
          <w:szCs w:val="52"/>
        </w:rPr>
      </w:pPr>
    </w:p>
    <w:p w:rsidR="0075181C" w:rsidRPr="008822EF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E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8159F" w:rsidRPr="008822EF" w:rsidRDefault="0075181C" w:rsidP="00C81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EF">
        <w:rPr>
          <w:rFonts w:ascii="Times New Roman" w:hAnsi="Times New Roman" w:cs="Times New Roman"/>
          <w:b/>
          <w:sz w:val="28"/>
          <w:szCs w:val="28"/>
        </w:rPr>
        <w:t>«Энергосбережение и повышение</w:t>
      </w:r>
      <w:r w:rsidR="00C8159F" w:rsidRPr="0088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2EF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</w:p>
    <w:p w:rsidR="0075181C" w:rsidRPr="008822EF" w:rsidRDefault="0075181C" w:rsidP="00C81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EF">
        <w:rPr>
          <w:rFonts w:ascii="Times New Roman" w:hAnsi="Times New Roman" w:cs="Times New Roman"/>
          <w:b/>
          <w:sz w:val="28"/>
          <w:szCs w:val="28"/>
        </w:rPr>
        <w:t>на территории Царевщинского муниципального образования</w:t>
      </w:r>
    </w:p>
    <w:p w:rsidR="0075181C" w:rsidRPr="008822EF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9F" w:rsidRPr="008822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45FD" w:rsidRPr="008822EF">
        <w:rPr>
          <w:rFonts w:ascii="Times New Roman" w:hAnsi="Times New Roman" w:cs="Times New Roman"/>
          <w:b/>
          <w:sz w:val="28"/>
          <w:szCs w:val="28"/>
        </w:rPr>
        <w:t>2025</w:t>
      </w:r>
      <w:r w:rsidR="00C8159F" w:rsidRPr="008822EF">
        <w:rPr>
          <w:rFonts w:ascii="Times New Roman" w:hAnsi="Times New Roman" w:cs="Times New Roman"/>
          <w:b/>
          <w:sz w:val="28"/>
          <w:szCs w:val="28"/>
        </w:rPr>
        <w:t>г</w:t>
      </w:r>
      <w:r w:rsidRPr="008822EF">
        <w:rPr>
          <w:rFonts w:ascii="Times New Roman" w:hAnsi="Times New Roman" w:cs="Times New Roman"/>
          <w:b/>
          <w:sz w:val="28"/>
          <w:szCs w:val="28"/>
        </w:rPr>
        <w:t>»</w:t>
      </w:r>
    </w:p>
    <w:p w:rsidR="0075181C" w:rsidRDefault="0075181C" w:rsidP="0075181C">
      <w:pPr>
        <w:spacing w:after="0"/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C">
        <w:rPr>
          <w:rFonts w:ascii="Times New Roman" w:hAnsi="Times New Roman" w:cs="Times New Roman"/>
          <w:b/>
          <w:sz w:val="28"/>
          <w:szCs w:val="28"/>
        </w:rPr>
        <w:t>с.Царевщина</w:t>
      </w: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20</w:t>
      </w:r>
      <w:r w:rsidR="00C8159F">
        <w:rPr>
          <w:rFonts w:ascii="Times New Roman" w:hAnsi="Times New Roman" w:cs="Times New Roman"/>
          <w:sz w:val="28"/>
          <w:szCs w:val="28"/>
        </w:rPr>
        <w:t>2</w:t>
      </w:r>
      <w:r w:rsidR="00AE45FD">
        <w:rPr>
          <w:rFonts w:ascii="Times New Roman" w:hAnsi="Times New Roman" w:cs="Times New Roman"/>
          <w:sz w:val="28"/>
          <w:szCs w:val="28"/>
        </w:rPr>
        <w:t>4</w:t>
      </w:r>
      <w:r w:rsidRPr="0075181C">
        <w:rPr>
          <w:rFonts w:ascii="Times New Roman" w:hAnsi="Times New Roman" w:cs="Times New Roman"/>
          <w:sz w:val="28"/>
          <w:szCs w:val="28"/>
        </w:rPr>
        <w:t>г.</w:t>
      </w: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  <w:sectPr w:rsidR="0075181C" w:rsidRPr="0075181C" w:rsidSect="009D6091">
          <w:pgSz w:w="11906" w:h="16838"/>
          <w:pgMar w:top="284" w:right="851" w:bottom="284" w:left="1418" w:header="720" w:footer="720" w:gutter="0"/>
          <w:cols w:space="720"/>
        </w:sectPr>
      </w:pP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 xml:space="preserve"> «Энергосбережение и повышение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энергетической эффективности на территории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Царевщинского муниципального образования</w:t>
      </w:r>
    </w:p>
    <w:p w:rsidR="0075181C" w:rsidRPr="0075181C" w:rsidRDefault="00C8159F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E45FD">
        <w:rPr>
          <w:rFonts w:ascii="Times New Roman" w:hAnsi="Times New Roman" w:cs="Times New Roman"/>
          <w:b/>
          <w:sz w:val="32"/>
          <w:szCs w:val="32"/>
        </w:rPr>
        <w:t>2025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="0075181C" w:rsidRPr="0075181C">
        <w:rPr>
          <w:rFonts w:ascii="Times New Roman" w:hAnsi="Times New Roman" w:cs="Times New Roman"/>
          <w:b/>
          <w:sz w:val="32"/>
          <w:szCs w:val="32"/>
        </w:rPr>
        <w:t>»</w:t>
      </w:r>
    </w:p>
    <w:p w:rsidR="0075181C" w:rsidRDefault="0075181C" w:rsidP="0075181C">
      <w:pPr>
        <w:spacing w:after="0"/>
        <w:rPr>
          <w:b/>
          <w:sz w:val="32"/>
          <w:szCs w:val="32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819"/>
        <w:gridCol w:w="1049"/>
        <w:gridCol w:w="4904"/>
      </w:tblGrid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Программа «Энергосбережение и повышение энергетической эффективности на территории</w:t>
            </w:r>
          </w:p>
          <w:p w:rsidR="0075181C" w:rsidRPr="0075181C" w:rsidRDefault="0075181C" w:rsidP="00F6046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Царевщинского муниципального образования </w:t>
            </w:r>
            <w:r w:rsidR="002064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E45F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064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</w:tc>
      </w:tr>
      <w:tr w:rsidR="001E0F8E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Администрация Ц</w:t>
            </w:r>
            <w:r w:rsidRPr="001E0F8E">
              <w:rPr>
                <w:rFonts w:ascii="Times New Roman" w:hAnsi="Times New Roman" w:cs="Times New Roman"/>
                <w:sz w:val="28"/>
                <w:szCs w:val="28"/>
              </w:rPr>
              <w:t xml:space="preserve">аревщинского муниципального образования </w:t>
            </w:r>
          </w:p>
        </w:tc>
      </w:tr>
      <w:tr w:rsidR="001E0F8E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1E0F8E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Администрация Ц</w:t>
            </w:r>
            <w:r w:rsidRPr="001E0F8E">
              <w:rPr>
                <w:rFonts w:ascii="Times New Roman" w:hAnsi="Times New Roman" w:cs="Times New Roman"/>
                <w:sz w:val="28"/>
                <w:szCs w:val="28"/>
              </w:rPr>
              <w:t>аревщинского муниципального образования</w:t>
            </w:r>
          </w:p>
        </w:tc>
      </w:tr>
      <w:tr w:rsidR="001E0F8E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1E0F8E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 имеет</w:t>
            </w:r>
          </w:p>
        </w:tc>
      </w:tr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-комплексное решение 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проблемы повышения эффективности использования энергетических ресурсов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Царевщинского муниципального образования, сокращение расхода бюджета на обеспечение энергетическими ресурсами;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энергетических ресурсов в жилищном фонде, системах коммунальной инфраструктуры;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сокращение потерь энергетических ресурсов при их передаче, в том числе в системах коммунальной инфраструктуры;</w:t>
            </w:r>
          </w:p>
          <w:p w:rsidR="0075181C" w:rsidRPr="0075181C" w:rsidRDefault="0075181C" w:rsidP="005260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уровня оснащенности приборами учета используемых энергетических ресурсов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10" w:rsidRDefault="00526010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нижение потребления энергоресурсов за счет энергосбережения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% до 202</w:t>
            </w:r>
            <w:r w:rsidR="00263A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оснащение потребителей системами регулирования энергоресурсов, реконструкция и модернизация оборудования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жилищн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комплекса и администрации Царевщинского МО</w:t>
            </w:r>
          </w:p>
        </w:tc>
      </w:tr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81C" w:rsidRPr="0075181C" w:rsidRDefault="00AE45FD" w:rsidP="00F6046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F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5181C" w:rsidTr="001E0F8E"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265D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265D51" w:rsidRDefault="00265D51" w:rsidP="00265D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5D51">
              <w:rPr>
                <w:rFonts w:ascii="Times New Roman" w:hAnsi="Times New Roman" w:cs="Times New Roman"/>
                <w:sz w:val="28"/>
                <w:szCs w:val="28"/>
              </w:rPr>
              <w:t>атраты на реализацию Программы составят</w:t>
            </w:r>
            <w:proofErr w:type="gramStart"/>
            <w:r w:rsidRPr="00265D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F60461" w:rsidTr="0061604C"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461" w:rsidRPr="0075181C" w:rsidRDefault="00F60461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75181C" w:rsidRDefault="00F60461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60461" w:rsidRPr="0075181C" w:rsidRDefault="00F60461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61" w:rsidRPr="0075181C" w:rsidRDefault="00AE45FD" w:rsidP="000375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Default="00AE45FD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60461" w:rsidRDefault="00F60461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61" w:rsidRPr="0075181C" w:rsidRDefault="00AE45FD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60461" w:rsidTr="007F62E9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0461" w:rsidRPr="0075181C" w:rsidRDefault="00F60461" w:rsidP="00F6046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1E6A12" w:rsidRDefault="00AE45FD" w:rsidP="000375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75181C" w:rsidRDefault="00AE45FD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181C" w:rsidTr="001E0F8E"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9624FD" w:rsidP="00526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2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81C"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</w:tr>
    </w:tbl>
    <w:p w:rsidR="0075181C" w:rsidRDefault="0075181C" w:rsidP="0075181C">
      <w:pPr>
        <w:spacing w:after="0"/>
        <w:sectPr w:rsidR="0075181C">
          <w:pgSz w:w="11906" w:h="16838"/>
          <w:pgMar w:top="737" w:right="851" w:bottom="567" w:left="1701" w:header="720" w:footer="720" w:gutter="0"/>
          <w:cols w:space="720"/>
        </w:sect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являются одними из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самых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актуальных на сегодняшний день. Поддержка и стимулирование энергосбережения, системность и комплексность проводимых мероприятий по энергосбережению и повышению энергетической эффективности позволит снизить энергоемкость муниципального продукта на 21%.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основе Программы лежит принцип социальной направленности, подразумевающий достижение значительного экономического эффекта для населения и бюджетных организаций от уменьшения платежей и точного учета производства и потребления энергоресурсов. Наряду с этим, внедрение приборного учета производства и потребления тепловой энергии, воды, газа, организация взаиморасчетов за потребление ресурсов по показаниям приборов, является одним из основных направлений деятельности по снижению издержек на производство жилищно-коммунальных услуг.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рекомендациями Правительства Российской Федерации (Приказ министерства экономического развития РФ от 17 февраля 2010 года № 61) основные мероприятия по энергосбережению и повышению энергетической эффективности должны включать в себя организационные, технические и технологические мероприятия, мероприятия по информированию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эффективности.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мероприятиях по энергосбережению и повышению энергетической эффективности систем коммунальной инфраструктуры целесообразно включить следующие предложения: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договоров электро-, тепл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газо- и водоснабжения на предмет выявления положений договоров, препятствующих реализации мер по повышению энергетической эффективности;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оснащение приборами учета систем теплоснабжения;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оборудования, регулирующего работу котельных в связи с изменениями температурного графика и гидравлического режима работы систем теплоснабжения;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регулируемого привода в системах водоснабжения, в том числе частотно-регулируемый привод;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включения расходов на компенсацию данных потерь в тариф организации, управляющей такими объектами: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реконструкция водопроводных сетей с использованием современных материалов, включая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полимерные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прокладной водоводов по оптимальной схеме.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перечне мероприятий, повышающих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 и объектов социальной сферы, целесообразно реализовать следующие мероприятия: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мероприятия, обеспечивающие распространение информации об установленных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бюджетных учреждений, информирование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пропаганду реализации мер, направленных на снижение пикового потребления электрической энергии населением;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утепление зданий и сооружений бюджетной сферы (замена существующих окон на современные оконные блоки из древесины или ПВХ с двойным и тройным остеклением, устройство дополнительной теплоизоляции наружных стен), что позволит снизить коэффициент теплопроводности ограждающих конструкций в 3-3,5 раза, что соответствует снижению затрат на отопление на 30-50%;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капитальный ремонт кровель зданий на основе использования современных систем кровельных покрытий. Система тепловой защиты здания со стороны кровельных покрытий включает утепление кровли пенополистирольными плитами или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минераловатными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листами требуемой толщины;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реконструкция систем отопления учреждений бюджетной сферы с установкой приборов учета и регулирования тепловой энергии;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снижение расхода тепла в учреждениях бюджетной сферы за счет: плавного снижения температуры теплоносителя в системе отопления в теплые периоды отопительного сезона, снижение температуры теплоносителя в заданные периоды времени, например в ночные часы, выходные дни, когда полноценного функционирования системы отопления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требуется;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применение при капитальном ремонте зданий и сооружений бюджетной сферы современные теплоизоляционные материалы и конструкции; 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Модернизации могут подвергаться системы наружного и внутреннего освещения.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систем наружного освещения целесообразно применять светильники нового поколения на базе высокоэкономичной натриевой лампы с зеркальным отражателем «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Рефлакс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модернизации систем внутреннего освещения объектов бюджетной сферы, в первую очередь образования и здравоохранения, лежит замена существующих неэффективных светильников с лампами накаливания на современные светильники с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люминисцентными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лампами.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Светильники соответствуют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14-46-96 и обладают следующими преимуществами: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пониженный, до 30% расход электроэнергии без снижения уровня освещенности;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утомляющий зрение, ровный без мерцания свет;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бесшумный режим работы;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срока службы лампы как минимум на 20% за счет оптимального режима работы.</w:t>
      </w:r>
    </w:p>
    <w:p w:rsidR="0075181C" w:rsidRDefault="0075181C" w:rsidP="0075181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Перспективным направлением модернизации систем наружного и внутреннего осве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является внедрение энергосберег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ающих светодиодных светильников»</w:t>
      </w:r>
    </w:p>
    <w:p w:rsidR="0075181C" w:rsidRPr="0075181C" w:rsidRDefault="0075181C" w:rsidP="007518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C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  обеспечение надежного бесперебойного энергообеспечения объектов;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комплексное решение </w:t>
      </w:r>
      <w:proofErr w:type="gramStart"/>
      <w:r w:rsidRPr="0075181C">
        <w:rPr>
          <w:rFonts w:ascii="Times New Roman" w:hAnsi="Times New Roman" w:cs="Times New Roman"/>
          <w:sz w:val="28"/>
          <w:szCs w:val="28"/>
        </w:rPr>
        <w:t>проблемы повышения эффективности использования энергетических ресурсов</w:t>
      </w:r>
      <w:proofErr w:type="gramEnd"/>
      <w:r w:rsidRPr="0075181C">
        <w:rPr>
          <w:rFonts w:ascii="Times New Roman" w:hAnsi="Times New Roman" w:cs="Times New Roman"/>
          <w:sz w:val="28"/>
          <w:szCs w:val="28"/>
        </w:rPr>
        <w:t xml:space="preserve"> в организациях бюджетной сферы, сокращение расходов бюджетов на обеспечение энергетическими ресурсами;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 привлечение финансовых средств из различных источников в сферу модернизации энергообеспеч</w:t>
      </w:r>
      <w:r w:rsidR="00AE45FD">
        <w:rPr>
          <w:rFonts w:ascii="Times New Roman" w:hAnsi="Times New Roman" w:cs="Times New Roman"/>
          <w:sz w:val="28"/>
          <w:szCs w:val="28"/>
        </w:rPr>
        <w:t>ения муниципального образования.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Осуществление данной Программы позволит решить следующие задачи: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создание системы технических мер, нормативно- правового, финансово- экономического и организационного механизмов энергосбережения для обеспечения на этой основе перехода экономики района на энергосберегающий путь развития;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сокращение потерь энергетических ресурсов при их передаче, в том числе в системах коммунальной инфраструктуры;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завершение оснащения объектов бюджетной сферы и других потребителей энергоресурсов приборами учета используемых энергетических ресурсов;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повышение качества жизни населения, снижение доли затрат на энергообеспечение;</w:t>
      </w:r>
    </w:p>
    <w:p w:rsidR="0075181C" w:rsidRPr="0075181C" w:rsidRDefault="0075181C" w:rsidP="009D6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5181C" w:rsidRPr="0075181C">
          <w:pgSz w:w="11906" w:h="16838"/>
          <w:pgMar w:top="794" w:right="851" w:bottom="737" w:left="1701" w:header="720" w:footer="720" w:gutter="0"/>
          <w:cols w:space="720"/>
        </w:sectPr>
      </w:pPr>
      <w:r w:rsidRPr="0075181C">
        <w:rPr>
          <w:rFonts w:ascii="Times New Roman" w:hAnsi="Times New Roman" w:cs="Times New Roman"/>
          <w:sz w:val="28"/>
          <w:szCs w:val="28"/>
        </w:rPr>
        <w:t xml:space="preserve"> -   уменьшение негативного воздействия на окружающую среду</w:t>
      </w:r>
      <w:r w:rsidR="00AE45FD">
        <w:rPr>
          <w:rFonts w:ascii="Times New Roman" w:hAnsi="Times New Roman" w:cs="Times New Roman"/>
          <w:sz w:val="28"/>
          <w:szCs w:val="28"/>
        </w:rPr>
        <w:t>.</w:t>
      </w:r>
    </w:p>
    <w:p w:rsidR="0075181C" w:rsidRPr="009624FD" w:rsidRDefault="001E0F8E" w:rsidP="00751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FD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621600" w:rsidRPr="001E6A12" w:rsidRDefault="00621600" w:rsidP="00751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274"/>
        <w:gridCol w:w="2019"/>
        <w:gridCol w:w="2262"/>
        <w:gridCol w:w="2219"/>
        <w:gridCol w:w="3577"/>
      </w:tblGrid>
      <w:tr w:rsidR="009624FD" w:rsidRPr="001E6A12" w:rsidTr="00A959C5">
        <w:trPr>
          <w:trHeight w:val="15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276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Целевой показатель (номер целевого показателя из паспорта муниципальной программы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9624FD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9624FD">
              <w:rPr>
                <w:b/>
                <w:bCs/>
                <w:color w:val="000001"/>
                <w:sz w:val="28"/>
                <w:szCs w:val="28"/>
              </w:rPr>
              <w:t>Объем финансирования</w:t>
            </w:r>
          </w:p>
          <w:p w:rsidR="009624FD" w:rsidRPr="009624FD" w:rsidRDefault="009624FD" w:rsidP="00962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(</w:t>
            </w:r>
            <w:proofErr w:type="spell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тыс</w:t>
            </w:r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.р</w:t>
            </w:r>
            <w:proofErr w:type="gramEnd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уб</w:t>
            </w:r>
            <w:proofErr w:type="spellEnd"/>
            <w:r w:rsidRPr="009624FD">
              <w:rPr>
                <w:rFonts w:ascii="Times New Roman" w:hAnsi="Times New Roman" w:cs="Times New Roman"/>
                <w:b/>
                <w:bCs/>
                <w:color w:val="000001"/>
                <w:spacing w:val="-8"/>
                <w:sz w:val="28"/>
                <w:szCs w:val="28"/>
              </w:rPr>
              <w:t>)</w:t>
            </w:r>
          </w:p>
        </w:tc>
      </w:tr>
      <w:tr w:rsidR="00F60461" w:rsidRPr="001E6A12" w:rsidTr="00A8612A">
        <w:trPr>
          <w:trHeight w:val="1582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461" w:rsidRPr="009624FD" w:rsidRDefault="00F60461" w:rsidP="00276D53">
            <w:pPr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61" w:rsidRPr="009624FD" w:rsidRDefault="00AE45FD" w:rsidP="00F60461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>
              <w:rPr>
                <w:b/>
                <w:bCs/>
                <w:color w:val="000001"/>
                <w:sz w:val="28"/>
                <w:szCs w:val="28"/>
              </w:rPr>
              <w:t>2025</w:t>
            </w:r>
            <w:r w:rsidR="00F60461" w:rsidRPr="009624FD">
              <w:rPr>
                <w:b/>
                <w:bCs/>
                <w:color w:val="000001"/>
                <w:sz w:val="28"/>
                <w:szCs w:val="28"/>
              </w:rPr>
              <w:t>год</w:t>
            </w:r>
          </w:p>
        </w:tc>
      </w:tr>
      <w:tr w:rsidR="00F60461" w:rsidRPr="001E6A12" w:rsidTr="00CF477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1E6A12" w:rsidRDefault="00F60461" w:rsidP="0052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уличного освещения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>Царевщинского</w:t>
            </w:r>
            <w:proofErr w:type="spellEnd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1E6A12" w:rsidRDefault="00AE45FD" w:rsidP="00F60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Default="00F6046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461" w:rsidRPr="001E6A12" w:rsidRDefault="00F6046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Pr="009624FD" w:rsidRDefault="00F6046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61" w:rsidRDefault="00F6046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61" w:rsidRPr="001E6A12" w:rsidRDefault="00AE45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4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181C" w:rsidRPr="001E6A12" w:rsidRDefault="0075181C" w:rsidP="009624FD">
      <w:pPr>
        <w:rPr>
          <w:rFonts w:ascii="Times New Roman" w:hAnsi="Times New Roman" w:cs="Times New Roman"/>
          <w:sz w:val="28"/>
          <w:szCs w:val="28"/>
        </w:rPr>
      </w:pPr>
    </w:p>
    <w:sectPr w:rsidR="0075181C" w:rsidRPr="001E6A12" w:rsidSect="00235C26">
      <w:pgSz w:w="16838" w:h="11906" w:orient="landscape"/>
      <w:pgMar w:top="992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FE"/>
    <w:rsid w:val="0001200F"/>
    <w:rsid w:val="00036464"/>
    <w:rsid w:val="00037586"/>
    <w:rsid w:val="00042044"/>
    <w:rsid w:val="00080BD8"/>
    <w:rsid w:val="000F3FD7"/>
    <w:rsid w:val="0011058C"/>
    <w:rsid w:val="001119C3"/>
    <w:rsid w:val="001141D1"/>
    <w:rsid w:val="00136CA2"/>
    <w:rsid w:val="00180996"/>
    <w:rsid w:val="001B1727"/>
    <w:rsid w:val="001C3CA6"/>
    <w:rsid w:val="001E0F8E"/>
    <w:rsid w:val="001E6A12"/>
    <w:rsid w:val="001F2E85"/>
    <w:rsid w:val="00206483"/>
    <w:rsid w:val="00235C26"/>
    <w:rsid w:val="002639E1"/>
    <w:rsid w:val="00263A74"/>
    <w:rsid w:val="00265D51"/>
    <w:rsid w:val="0026696B"/>
    <w:rsid w:val="002721FE"/>
    <w:rsid w:val="00276D53"/>
    <w:rsid w:val="002A6403"/>
    <w:rsid w:val="002C4A1D"/>
    <w:rsid w:val="00307292"/>
    <w:rsid w:val="00391C13"/>
    <w:rsid w:val="003E153D"/>
    <w:rsid w:val="004075B4"/>
    <w:rsid w:val="004478F6"/>
    <w:rsid w:val="00462B5F"/>
    <w:rsid w:val="0046614F"/>
    <w:rsid w:val="004C0828"/>
    <w:rsid w:val="004C1822"/>
    <w:rsid w:val="004F3DBF"/>
    <w:rsid w:val="00526010"/>
    <w:rsid w:val="005365B0"/>
    <w:rsid w:val="00545683"/>
    <w:rsid w:val="005A5A4B"/>
    <w:rsid w:val="005C7966"/>
    <w:rsid w:val="005D4396"/>
    <w:rsid w:val="006210C0"/>
    <w:rsid w:val="00621600"/>
    <w:rsid w:val="00692B88"/>
    <w:rsid w:val="00696058"/>
    <w:rsid w:val="006D3DE7"/>
    <w:rsid w:val="006E31F7"/>
    <w:rsid w:val="00714B7D"/>
    <w:rsid w:val="00725329"/>
    <w:rsid w:val="007312B0"/>
    <w:rsid w:val="007323B0"/>
    <w:rsid w:val="0075181C"/>
    <w:rsid w:val="007841E2"/>
    <w:rsid w:val="007948A5"/>
    <w:rsid w:val="007D0016"/>
    <w:rsid w:val="007D461B"/>
    <w:rsid w:val="007F233C"/>
    <w:rsid w:val="00836B42"/>
    <w:rsid w:val="00837A4C"/>
    <w:rsid w:val="00852DFD"/>
    <w:rsid w:val="008579B3"/>
    <w:rsid w:val="008822EF"/>
    <w:rsid w:val="00896955"/>
    <w:rsid w:val="008C00E5"/>
    <w:rsid w:val="008F1352"/>
    <w:rsid w:val="008F38FB"/>
    <w:rsid w:val="00920261"/>
    <w:rsid w:val="0092438C"/>
    <w:rsid w:val="009338D3"/>
    <w:rsid w:val="009624FD"/>
    <w:rsid w:val="00963D54"/>
    <w:rsid w:val="009B0552"/>
    <w:rsid w:val="009C1AEA"/>
    <w:rsid w:val="009D1389"/>
    <w:rsid w:val="009D6091"/>
    <w:rsid w:val="009D6F01"/>
    <w:rsid w:val="00A17E47"/>
    <w:rsid w:val="00A32609"/>
    <w:rsid w:val="00A47839"/>
    <w:rsid w:val="00AE45FD"/>
    <w:rsid w:val="00B456D6"/>
    <w:rsid w:val="00BB03F0"/>
    <w:rsid w:val="00BB4F04"/>
    <w:rsid w:val="00BC7AE5"/>
    <w:rsid w:val="00C400A5"/>
    <w:rsid w:val="00C8159F"/>
    <w:rsid w:val="00CB71AC"/>
    <w:rsid w:val="00D14B41"/>
    <w:rsid w:val="00D40084"/>
    <w:rsid w:val="00D920CC"/>
    <w:rsid w:val="00DB7EFF"/>
    <w:rsid w:val="00DE348B"/>
    <w:rsid w:val="00E57EBE"/>
    <w:rsid w:val="00E85417"/>
    <w:rsid w:val="00F15A43"/>
    <w:rsid w:val="00F17F84"/>
    <w:rsid w:val="00F214E9"/>
    <w:rsid w:val="00F60461"/>
    <w:rsid w:val="00F81F52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  <w:style w:type="paragraph" w:customStyle="1" w:styleId="ConsPlusNormal">
    <w:name w:val="ConsPlusNormal"/>
    <w:link w:val="ConsPlusNormal0"/>
    <w:rsid w:val="0075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81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2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962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7857-84D5-4431-AB0A-C3E4830C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Home</cp:lastModifiedBy>
  <cp:revision>20</cp:revision>
  <cp:lastPrinted>2024-09-20T07:24:00Z</cp:lastPrinted>
  <dcterms:created xsi:type="dcterms:W3CDTF">2019-11-06T07:44:00Z</dcterms:created>
  <dcterms:modified xsi:type="dcterms:W3CDTF">2024-11-08T05:08:00Z</dcterms:modified>
</cp:coreProperties>
</file>