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3" w:rsidRPr="001C40BE" w:rsidRDefault="00854E13" w:rsidP="00854E13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13" w:rsidRPr="001C40BE" w:rsidRDefault="00854E13" w:rsidP="00854E13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854E13" w:rsidRPr="001C40BE" w:rsidRDefault="00384E0A" w:rsidP="00854E13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854E13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 О С Т А Н О В Л Е Н И Е</w:t>
      </w:r>
    </w:p>
    <w:p w:rsidR="00854E13" w:rsidRPr="001C40BE" w:rsidRDefault="00B576EB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B576EB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854E13" w:rsidRPr="00D27FA3" w:rsidRDefault="00854E13" w:rsidP="00854E1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384E0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03.07.2019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84E0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40</w:t>
                  </w:r>
                </w:p>
              </w:txbxContent>
            </v:textbox>
            <w10:wrap type="square" side="largest"/>
          </v:shape>
        </w:pict>
      </w:r>
    </w:p>
    <w:p w:rsidR="00854E13" w:rsidRPr="001C40BE" w:rsidRDefault="00854E13" w:rsidP="00854E1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854E13" w:rsidRDefault="00854E13" w:rsidP="00854E13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r w:rsidR="00384E0A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</w:p>
    <w:p w:rsidR="00384E0A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подготовки </w:t>
      </w:r>
    </w:p>
    <w:p w:rsidR="00384E0A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концессионных соглашений, реализуемых в отношении </w:t>
      </w:r>
    </w:p>
    <w:p w:rsidR="00384E0A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r w:rsidR="00384E0A">
        <w:rPr>
          <w:rFonts w:ascii="Times New Roman" w:hAnsi="Times New Roman"/>
          <w:b/>
          <w:sz w:val="28"/>
          <w:szCs w:val="28"/>
        </w:rPr>
        <w:t xml:space="preserve">Царевщинского </w:t>
      </w:r>
    </w:p>
    <w:p w:rsidR="00384E0A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муниципального образования Балтайского </w:t>
      </w:r>
    </w:p>
    <w:p w:rsidR="000155DB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84E0A">
        <w:rPr>
          <w:rFonts w:ascii="Times New Roman" w:hAnsi="Times New Roman"/>
          <w:b/>
          <w:sz w:val="28"/>
          <w:szCs w:val="28"/>
        </w:rPr>
        <w:t xml:space="preserve"> </w:t>
      </w:r>
      <w:r w:rsidRPr="00854E13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854E13" w:rsidRDefault="00854E13" w:rsidP="00854E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4E13" w:rsidRPr="00E060C6" w:rsidRDefault="00854E13" w:rsidP="00854E13">
      <w:pPr>
        <w:pStyle w:val="1"/>
        <w:ind w:firstLine="709"/>
        <w:jc w:val="both"/>
        <w:rPr>
          <w:sz w:val="28"/>
          <w:szCs w:val="28"/>
        </w:rPr>
      </w:pPr>
      <w:r w:rsidRPr="00854E13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21.07.2005 № 115</w:t>
      </w:r>
      <w:r w:rsidR="00384E0A">
        <w:rPr>
          <w:sz w:val="28"/>
          <w:szCs w:val="28"/>
        </w:rPr>
        <w:t xml:space="preserve"> </w:t>
      </w:r>
      <w:r w:rsidRPr="00854E13">
        <w:rPr>
          <w:sz w:val="28"/>
          <w:szCs w:val="28"/>
        </w:rPr>
        <w:t>-</w:t>
      </w:r>
      <w:r w:rsidR="00384E0A">
        <w:rPr>
          <w:sz w:val="28"/>
          <w:szCs w:val="28"/>
        </w:rPr>
        <w:t xml:space="preserve"> </w:t>
      </w:r>
      <w:r w:rsidRPr="00854E13">
        <w:rPr>
          <w:sz w:val="28"/>
          <w:szCs w:val="28"/>
        </w:rPr>
        <w:t>ФЗ "О концессионных соглашениях",</w:t>
      </w:r>
      <w:r w:rsidR="00384E0A">
        <w:rPr>
          <w:sz w:val="28"/>
          <w:szCs w:val="28"/>
        </w:rPr>
        <w:t xml:space="preserve"> </w:t>
      </w:r>
      <w:r w:rsidRPr="00E060C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384E0A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Устава </w:t>
      </w:r>
      <w:r w:rsidR="00384E0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 w:rsidRPr="00E060C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E060C6">
        <w:rPr>
          <w:sz w:val="28"/>
          <w:szCs w:val="28"/>
        </w:rPr>
        <w:t>,</w:t>
      </w:r>
    </w:p>
    <w:p w:rsidR="00854E13" w:rsidRDefault="00854E13" w:rsidP="00854E13">
      <w:pPr>
        <w:pStyle w:val="1"/>
        <w:ind w:firstLine="709"/>
        <w:jc w:val="both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ПОСТАНОВЛЯЮ:</w:t>
      </w:r>
    </w:p>
    <w:p w:rsid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854E13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 xml:space="preserve">орядке подготовки концессионных </w:t>
      </w:r>
      <w:r w:rsidRPr="00854E13">
        <w:rPr>
          <w:rFonts w:ascii="Times New Roman" w:hAnsi="Times New Roman"/>
          <w:sz w:val="28"/>
          <w:szCs w:val="28"/>
        </w:rPr>
        <w:t>соглашений, реализуемых в отно</w:t>
      </w:r>
      <w:r>
        <w:rPr>
          <w:rFonts w:ascii="Times New Roman" w:hAnsi="Times New Roman"/>
          <w:sz w:val="28"/>
          <w:szCs w:val="28"/>
        </w:rPr>
        <w:t xml:space="preserve">шении муниципального имущества </w:t>
      </w:r>
      <w:r w:rsidR="00384E0A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Pr="00854E13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4E13" w:rsidRDefault="00384E0A" w:rsidP="0007406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4E13">
        <w:rPr>
          <w:rFonts w:ascii="Times New Roman" w:hAnsi="Times New Roman"/>
          <w:sz w:val="28"/>
          <w:szCs w:val="28"/>
        </w:rPr>
        <w:t xml:space="preserve">2. Считать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Царевщинского </w:t>
      </w:r>
      <w:r w:rsidR="00854E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74065" w:rsidRPr="00074065">
        <w:rPr>
          <w:rFonts w:ascii="Times New Roman" w:hAnsi="Times New Roman"/>
          <w:sz w:val="28"/>
          <w:szCs w:val="28"/>
        </w:rPr>
        <w:t xml:space="preserve">20.11.2015 </w:t>
      </w:r>
      <w:r w:rsidRPr="00074065">
        <w:rPr>
          <w:rFonts w:ascii="Times New Roman" w:hAnsi="Times New Roman"/>
          <w:sz w:val="28"/>
          <w:szCs w:val="28"/>
        </w:rPr>
        <w:t xml:space="preserve"> </w:t>
      </w:r>
      <w:r w:rsidR="00074065" w:rsidRPr="00074065">
        <w:rPr>
          <w:rFonts w:ascii="Times New Roman" w:hAnsi="Times New Roman"/>
          <w:sz w:val="28"/>
          <w:szCs w:val="28"/>
        </w:rPr>
        <w:t>№ 88</w:t>
      </w:r>
      <w:r>
        <w:rPr>
          <w:rFonts w:ascii="Times New Roman" w:hAnsi="Times New Roman"/>
          <w:sz w:val="28"/>
          <w:szCs w:val="28"/>
        </w:rPr>
        <w:t xml:space="preserve"> </w:t>
      </w:r>
      <w:r w:rsidR="00854E13">
        <w:rPr>
          <w:rFonts w:ascii="Times New Roman" w:hAnsi="Times New Roman"/>
          <w:sz w:val="28"/>
          <w:szCs w:val="28"/>
        </w:rPr>
        <w:t xml:space="preserve">«Об утверждении Положения о Порядке подготовки концессионных соглашений, реализуемых на территории </w:t>
      </w:r>
      <w:r>
        <w:rPr>
          <w:rFonts w:ascii="Times New Roman" w:hAnsi="Times New Roman"/>
          <w:sz w:val="28"/>
          <w:szCs w:val="28"/>
        </w:rPr>
        <w:t xml:space="preserve">Царевщинского </w:t>
      </w:r>
      <w:r w:rsidR="00854E13"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854E13" w:rsidRP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4E1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54E13" w:rsidRP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4E1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4E13" w:rsidRPr="00854E13" w:rsidRDefault="00854E13" w:rsidP="00854E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4E13">
        <w:rPr>
          <w:rFonts w:ascii="Times New Roman" w:hAnsi="Times New Roman"/>
          <w:sz w:val="28"/>
          <w:szCs w:val="28"/>
        </w:rPr>
        <w:tab/>
      </w:r>
    </w:p>
    <w:p w:rsidR="00854E13" w:rsidRPr="00384E0A" w:rsidRDefault="00384E0A" w:rsidP="00384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E0A">
        <w:rPr>
          <w:rFonts w:ascii="Times New Roman" w:hAnsi="Times New Roman"/>
          <w:b/>
          <w:sz w:val="28"/>
          <w:szCs w:val="28"/>
        </w:rPr>
        <w:t>И.о. главы администрации</w:t>
      </w:r>
      <w:bookmarkStart w:id="0" w:name="_GoBack"/>
      <w:bookmarkEnd w:id="0"/>
      <w:r w:rsidR="00854E13" w:rsidRPr="00384E0A">
        <w:rPr>
          <w:rFonts w:ascii="Times New Roman" w:hAnsi="Times New Roman"/>
          <w:b/>
          <w:sz w:val="28"/>
          <w:szCs w:val="28"/>
        </w:rPr>
        <w:t xml:space="preserve"> </w:t>
      </w:r>
      <w:r w:rsidRPr="00384E0A">
        <w:rPr>
          <w:rFonts w:ascii="Times New Roman" w:hAnsi="Times New Roman"/>
          <w:b/>
          <w:sz w:val="28"/>
          <w:szCs w:val="28"/>
        </w:rPr>
        <w:t>Царевщинского</w:t>
      </w:r>
    </w:p>
    <w:p w:rsidR="00854E13" w:rsidRPr="00384E0A" w:rsidRDefault="00854E13" w:rsidP="00384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E0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 w:rsidR="00384E0A" w:rsidRPr="00384E0A">
        <w:rPr>
          <w:rFonts w:ascii="Times New Roman" w:hAnsi="Times New Roman"/>
          <w:b/>
          <w:sz w:val="28"/>
          <w:szCs w:val="28"/>
        </w:rPr>
        <w:t xml:space="preserve">          </w:t>
      </w:r>
      <w:r w:rsidRPr="00384E0A">
        <w:rPr>
          <w:rFonts w:ascii="Times New Roman" w:hAnsi="Times New Roman"/>
          <w:b/>
          <w:sz w:val="28"/>
          <w:szCs w:val="28"/>
        </w:rPr>
        <w:t xml:space="preserve">       </w:t>
      </w:r>
      <w:r w:rsidR="00384E0A" w:rsidRPr="00384E0A">
        <w:rPr>
          <w:rFonts w:ascii="Times New Roman" w:hAnsi="Times New Roman"/>
          <w:b/>
          <w:sz w:val="28"/>
          <w:szCs w:val="28"/>
        </w:rPr>
        <w:t xml:space="preserve">Е.М. Бобкова </w:t>
      </w:r>
    </w:p>
    <w:p w:rsidR="00854E13" w:rsidRPr="00384E0A" w:rsidRDefault="00854E13" w:rsidP="00854E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4E0A" w:rsidRDefault="00384E0A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650" w:rsidRPr="00854E13" w:rsidRDefault="002A5650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4E13" w:rsidTr="00854E13">
        <w:tc>
          <w:tcPr>
            <w:tcW w:w="4785" w:type="dxa"/>
          </w:tcPr>
          <w:p w:rsidR="00854E13" w:rsidRDefault="00854E13" w:rsidP="00854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4E13" w:rsidRDefault="00854E13" w:rsidP="002A5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r w:rsidR="00384E0A">
              <w:rPr>
                <w:rFonts w:ascii="Times New Roman" w:hAnsi="Times New Roman"/>
                <w:sz w:val="28"/>
                <w:szCs w:val="28"/>
              </w:rPr>
              <w:t xml:space="preserve"> Царевщинского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от</w:t>
            </w:r>
            <w:r w:rsidR="002A5650">
              <w:rPr>
                <w:rFonts w:ascii="Times New Roman" w:hAnsi="Times New Roman"/>
                <w:sz w:val="28"/>
                <w:szCs w:val="28"/>
              </w:rPr>
              <w:t xml:space="preserve"> 03.07.2019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A565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</w:tbl>
    <w:p w:rsidR="00854E13" w:rsidRDefault="00854E13" w:rsidP="00854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E13" w:rsidRDefault="00854E13" w:rsidP="00854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E13">
        <w:rPr>
          <w:rFonts w:ascii="Times New Roman" w:hAnsi="Times New Roman"/>
          <w:b/>
          <w:sz w:val="28"/>
          <w:szCs w:val="28"/>
        </w:rPr>
        <w:t xml:space="preserve">Положение о порядке подготовки концессионных соглашений, реализуемых в отношении муниципального имущества </w:t>
      </w:r>
      <w:r w:rsidR="00384E0A">
        <w:rPr>
          <w:rFonts w:ascii="Times New Roman" w:hAnsi="Times New Roman"/>
          <w:b/>
          <w:sz w:val="28"/>
          <w:szCs w:val="28"/>
        </w:rPr>
        <w:t>Царевщинского</w:t>
      </w:r>
      <w:r w:rsidRPr="00854E13">
        <w:rPr>
          <w:rFonts w:ascii="Times New Roman" w:hAnsi="Times New Roman"/>
          <w:b/>
          <w:sz w:val="28"/>
          <w:szCs w:val="28"/>
        </w:rPr>
        <w:t xml:space="preserve"> муниципального образования  Балтайского муниципального района Саратовской области</w:t>
      </w:r>
    </w:p>
    <w:p w:rsid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№131 –ФЗ «Об общих принципах организации местного самоуправления в Российской Федерации», Гражданским </w:t>
      </w:r>
      <w:hyperlink r:id="rId8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Федерации, Федеральным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 концессионных соглашениях".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54E13" w:rsidRPr="00854E13" w:rsidRDefault="00854E13" w:rsidP="00854E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устанавливает: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заключения концессионных соглашений в отношении муниципального имущества по инициативе концедента;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подготовки и оформления концессионных соглашений, заключаемых по инициативе концессионера;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и проведение конкурса на право заключения концессионного соглашения;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заключения концессионного соглашения;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определения величины банковской гарантии;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предоставления земельных участков концессионерам;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внесения изменений в концессионное соглашение;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формирования и утверждения перечня объектов, в отношении которых планируется заключение концессионных соглашений;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полномочия по осуществлению контроля за исполнением концессионных соглашений.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Саратовской области 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образованию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Саратовской области.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Концессионное соглашение может быть заключено как по инициативе концедента, так и по инициативе концессионера.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Концедентом является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от имени которого выступает 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1.5.1. Полномочия по подготовке проекта постановления концедента о заключении концессионного соглашения осуществляет инициатор от лица концедента.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1.5.2. Полномочия по подготовке и утверждению конкурсной документации осуществляет инициатор от лица концедента.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1.5.3. Полномочия по проведению конкурсов на заключение концессионных соглашений осуществляет конкурсная комиссия.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1.5.4. Полномочия по подготовке проекта концессионного соглашения, заключаемого по инициативе концедента, его надлежащего оформления после проведения конкурса осуществляет инициатор от лица концедента.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Стороной концессионного соглашения не могут быть иностранные юридические лица, иностранные корпоративные образования, не имеющие аккредитованных филиала или представительства на территории РФ, а также несколько юридических лиц, действующих по договору простого товарищества, в числе которых имеются иностранные юридические лица.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Федеральным </w:t>
      </w:r>
      <w:hyperlink r:id="rId10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от 21.07.2005 № 115-ФЗ "О концессионных соглашениях".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Концессионная плата может быть установлена в форме: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передачи концеденту в собственность имущества, находящегося в собственности концессионера.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Концессионным соглашением может предусматриваться сочетание указанных выше форм концессионной платы.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устанавливается в порядке установленном статей 41 Федерального закона от 21.07.2005 № 115-ФЗ "О концессионных соглашениях".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1.9. Администратором поступлений в бюджет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концессионных платежей является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области, осуществляющая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854E13" w:rsidRPr="00854E13" w:rsidRDefault="00854E13" w:rsidP="00854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1.12. Сообщения о проведении конкурсов на право заключения концессионных соглашений и сообщения о результатах проведения конкурсов публикуются в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газете «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Родная земля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муниципального района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заключенному Соглашению)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работы по заключению концессионного соглашения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Порядок заключения концессионных соглашений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отношении муниципального имущества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инициативе концедента</w:t>
      </w:r>
    </w:p>
    <w:p w:rsidR="00854E13" w:rsidRPr="00854E13" w:rsidRDefault="00854E13" w:rsidP="00854E1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Инициатор от лица концедента формирует предложение по созданию и (или) реконструкции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2.1.1.1. Предложение по заключению концессионного соглашения должно содержать следующую обязательную информацию: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цели заключения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 объекта концессионного соглашения, в том числе: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муниципального недвижимого имущества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адрес, площадь, кадастровый номер;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технико-экономическое обоснование передачи объектов муниципального имущества в концессию (при необходимости);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техническое задание с ориентировочными стоимостными показателями;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- при наличии такого имущества;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размер концессионной платы;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и сроки внесения концессионной платы;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или формы внесения концессионной платы;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 по предоставлению гарантий концессионеру (при наличии такой необходимости);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критерии конкурса, установленные в соответствии с </w:t>
      </w:r>
      <w:hyperlink r:id="rId11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24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Российской Федерации от 21.07.2005 № 115-ФЗ "О концессионных соглашениях", параметры критериев конкурса;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 </w:t>
      </w:r>
      <w:hyperlink r:id="rId12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градостроительное обоснование строительства (реконструкции) объектов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наином законном основании;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предусмотренной настоящим пунктом информацией предложение должно содержать следующие существенные условия концессионных соглашений: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задание и основные мероприятия, определенные в соответствии со статьей 22 Федерального закона от 21.07.2005 № 115-ФЗ "О концессионных соглашениях", с описанием основных характеристик таких мероприятий;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соглашения,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соответствии с частью 15 статьи 3 Федерального закона от 21.07.2005 г. № 115-ФЗ "О концессионных соглашениях" в срок, равный одному году с даты вступления в силу концессионного соглашения;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законом от 30.12.2012 г. №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2.1.1.2. На этапе подготовки предложения, предусмотренного </w:t>
      </w:r>
      <w:hyperlink r:id="rId13" w:anchor="Par8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2.1.1.1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Положения, инициатор от лица концедента принимает меры по созданию рабочей группы по заключению и реализации концессионного соглашения, а также при необходимости привлекает: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экспертов и специалистов из других организаций, других лиц;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депутатов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членов рабочей группы не может быть менее пяти человек.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2.1.1.3.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 </w:t>
      </w:r>
      <w:hyperlink r:id="rId14" w:anchor="Par86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2.1.1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настоящего Положения, определяется постановлением </w:t>
      </w:r>
      <w:r w:rsidR="003F6219" w:rsidRPr="002039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384E0A" w:rsidRPr="00203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219" w:rsidRPr="002039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области. Решения рабочей группы оформляются протоколами.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2.1.1.4 По результатам работы рабочей группы инициатор от лица концедента формирует перечень объектов муниципального недвижимого имущества, передаваемого в концессионное соглашение, который утверждается постановлением </w:t>
      </w:r>
      <w:r w:rsid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3F6219" w:rsidRPr="003F6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На основании утвержденного перечня объектов муниципального недвижимого имущества и предложения, сформированного в соответствии </w:t>
      </w:r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15" w:anchor="Par8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2.1.1.1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настоящего Положения, инициатор от лица концедента осуществляет подготовку проекта решения о заключении концессионного соглашения в форме постановления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 На основании решения о заключении концессионного соглашения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области, в порядке, установленном статьей 23 Федерального </w:t>
      </w:r>
      <w:hyperlink r:id="rId16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21.07.2005 №115-ФЗ "О концессионных соглашениях", осуществляет: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подготовку конкурсной документации;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утверждение конкурсной документации;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внесение изменений в конкурсную документацию;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конкурсной комиссии по проведению конкурса (далее - конкурсная комиссия) и утверждение ее персонального состава.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2.1.4. Внесение изменений в конкурсную документацию осуществляется инициатором от лица концедента по инициативе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 в порядке и на условиях, установленных Федеральным </w:t>
      </w:r>
      <w:hyperlink r:id="rId1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21.07.2005 № 115-ФЗ "О концессионных соглашениях".</w:t>
      </w:r>
    </w:p>
    <w:p w:rsidR="00854E13" w:rsidRPr="00854E13" w:rsidRDefault="00854E13" w:rsidP="003F6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2.2. Порядок подготовки и оформления концессионных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соглашений, заключаемых по инициативе концессионера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Полномочия на рассмотрение предложений о заключении концессионного соглашения по инициативе концессионера возлагаются на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области, (далее - орган, уполномоченный на рассмотрение предложений о заключении концессионного соглашения).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Для рассмотрения предложений о заключении концессионного соглашения по инициативе концессионеров орган, уполномоченный на рассмотрение предложений о заключении концессионного соглашения принимает меры по созданию рабочей группы. Состав и порядок организации работы рабочей группы утверждается постановлением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 Решения рабочей группы оформляются протоколами.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членов рабочей группы не может быть менее пяти человек: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Рекомендуемый состав рабочей группы включает представителей: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384E0A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области, на территории которого находится объект концессионного соглашения;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кспертов и специалистов из других организаций, других лиц;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епутатов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Орган, уполномоченный на рассмотрение предложений о заключении концессионного соглашения, в течение тридцати календарных дней со дня поступления предложения о заключении концессионного соглашения, на основании протокола рабочей группы, созданной в соответствии с </w:t>
      </w:r>
      <w:hyperlink r:id="rId18" w:anchor="Par154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2.2.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Отказ в заключении концессионного соглашения допускается в случаях, установленных Федеральным </w:t>
      </w:r>
      <w:hyperlink r:id="rId19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2.2.5. В случаях принятия органом, уполномоченным на рассмотрение предложений о заключении концессионного соглашения, решений, предусмотренных подпунктами 1) и 2) </w:t>
      </w:r>
      <w:hyperlink r:id="rId20" w:anchor="Par153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пункта 2.2.</w:t>
        </w:r>
      </w:hyperlink>
      <w:r w:rsidR="0020397B" w:rsidRPr="002039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Положения, действия по заключению такого концессионного соглашения осуществляются в порядке и в сроки, установленные Федеральным </w:t>
      </w:r>
      <w:hyperlink r:id="rId21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В случаях, предусмотренных </w:t>
      </w:r>
      <w:hyperlink r:id="rId22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4.9 статьи 37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21.07.2005 № 115-ФЗ "О концессионных соглашениях", конкурсная комиссия и конкурсная документация для проведения конкурса на заключение концессионного соглашения формируется органом, уполномоченным на рассмотрение предложений о заключении концессионного соглашения, в порядке, установленном настоящим Положением.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Организация и проведение конкурса на право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заключения концессионного соглашения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Организация и проведение конкурса на право заключения концессионного соглашения (в дальнейшем именуемый конкурс) осуществляется конкурсной комиссией.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 Состав конкурсной комиссии утверждается постановлением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Конкурсная комиссия выполняет функции, установленные </w:t>
      </w:r>
      <w:hyperlink r:id="rId23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25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21.07.2005 № 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Порядок заключения концессионного соглашения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От лица концедента концессионное соглашение подписывает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384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Концедент в установленный Федеральным </w:t>
      </w:r>
      <w:hyperlink r:id="rId24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21.07.2005 № 115-ФЗ "О концессионных соглашениях"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Подготовку проекта постановления о заключении концессионного соглашения без проведения конкурса осуществляет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заключения концессионного соглашения без проведения конкурса (при объявлении конкурса несостоявшимся) концедент, в установленный Федеральным </w:t>
      </w:r>
      <w:hyperlink r:id="rId25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конкурсной документации.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Порядок определения величины банковской гарантии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Требования к банковской гарантии определены постановлением П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равительства РФ от 19.12.2013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1188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горячего водоснабжения, холодного водоснабжения и (или) водоотведения, отдельные объекты таких систем".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Процентное значение от предельного размера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 установить в размере 1%.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Порядок предоставления земельных участков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концессионерам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 </w:t>
      </w:r>
      <w:hyperlink r:id="rId26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54E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27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 21.07.2005 № 115-ФЗ "О концессионных соглашениях" и муниципальными правовыми актами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Заключение договора аренды (субаренды) в отношении земельного участка с концессионером осуществляет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sz w:val="28"/>
          <w:szCs w:val="28"/>
          <w:lang w:eastAsia="ru-RU"/>
        </w:rPr>
        <w:t>7. Порядок внесения изменений в концессионное соглашение</w:t>
      </w:r>
    </w:p>
    <w:p w:rsidR="00854E13" w:rsidRPr="00854E13" w:rsidRDefault="00854E13" w:rsidP="00854E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 случаях, предусмотренных Федеральным </w:t>
      </w:r>
      <w:hyperlink r:id="rId28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соглашениях", в концессионное соглашение могут быть внесены изменения путем заключения дополнительного соглашения к концессионному соглашению.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Решение о внесении изменений в концессионное соглашение оформляется постановлением </w:t>
      </w:r>
      <w:r w:rsid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0397B" w:rsidRPr="00203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7.3.Изменения условий концессионного соглашения осуществляются по инициативе любой из его сторон в порядке, установленном Федеральным </w:t>
      </w:r>
      <w:hyperlink r:id="rId29" w:history="1">
        <w:r w:rsidRPr="00854E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21.07.2005 № 115-ФЗ "О концессионных соглашениях".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Концессионер вправе представить Концеденту требования по изменению существенных условий концессионного соглашения (далее - требования),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уполномоченный на рассмотрение предложений о заключении концессионного соглашения, в течение тридцати календарных дней со дня поступления требований: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подготовку текста изменений, предлагаемых к внесению в концессионное соглашение, и согласовывает их с концессионером;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запрашивает предварительное согласие органа исполнительной власти, осуществляющих регулирование цен (тарифов) в соответствии с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в сфере регулирования цен (тарифов) (при необходимости);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предоставляет в антимонопольный орган перечень документов, предусмотренных Постановлением Правительства РФ от 24.04.2014 г. № 368 "Об утверждении Правил предоставления антимонопольным органом согласия на изменение условий концессионного соглашения";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в случае получения от антимонопольного органа решения о согласовании изменений условий концессионного соглашения осуществляет подготовку проекта постановления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Саратовской области об изменении существенных условий концессионного соглашения, обеспечивает подписание сторонами соглашения о внесении изменений в концессионное соглашение,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"Интернет", направляет экземпляр соглашения концессионеру, осуществляет хранение соглашения в течение срока действия концессионного соглашения;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в случае получения от антимонопольного органа решения об отказе в согласовании изменений условий концессионного соглашения осуществляет подготовку проекта постановления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A5650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 об отказе в изменении условий концессионного соглашения с указанием причин такого отказа, направляет его концессионеру.</w:t>
      </w:r>
    </w:p>
    <w:p w:rsidR="00854E13" w:rsidRPr="00854E13" w:rsidRDefault="00854E13" w:rsidP="00203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Порядок формирования и утверждения перечня объектов, в отношении которых планируется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 концессионных соглашений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Настоящий Порядок устанавливает процедуру формирования и утверждения перечня объектов, право собственности на которые принадлежит или будет принадлежать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 (далее – объекты), в отношении которых планируется заключение концессионных соглашений (далее – Перечень).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Формирование Перечня осуществляет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A5650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Саратовской области ежегодно до 31 декабря года, предшествующего году утверждения Перечня.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отдел бухуче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и отчетности представляет в 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дминистрацию</w:t>
      </w:r>
      <w:r w:rsidR="002A5650" w:rsidRP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8.4. Администрация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документы, представленные в соответствии с пунктами 7.3, 7.4 настоящего Порядка, и включает сведения об объектах в Перечень, за исключением случаев, указанных в пункте 7.6 настоящего Порядка.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8.5. Сведения об объектах не включаются администраци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2A5650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 в случаях, если объект не относится к объектам, указанным в статье 4 Федерального закона от 21.07.2005 № 115-ФЗ "О концессионных соглашениях".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и статьей 52 Федерального закона от 21.07.2015 № 115-ФЗ "О концессионных соглашениях".</w:t>
      </w:r>
    </w:p>
    <w:p w:rsidR="00854E13" w:rsidRP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8.7. Перечень утверждается ежегодно до 1 февраля текущего календарного года по форме согласно Приложению к настоящему Положению. Указанный перечень после его утверждения подлежит размещению в информационно-телекоммуникационной сети "Интернет" на официальном сайте Российской Федерации для размещения информации о проведении торгов, определенном Правительством Российской Федерации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 официальном сайте 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 муниципального района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E13" w:rsidRPr="00854E13" w:rsidRDefault="00854E13" w:rsidP="00854E1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Контроль за исполнением концессионных соглашений</w:t>
      </w:r>
    </w:p>
    <w:p w:rsidR="00854E13" w:rsidRPr="00854E13" w:rsidRDefault="00854E13" w:rsidP="00854E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E6C" w:rsidRPr="007D5E6C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Контроль за исполнением концессионных соглашений осуществляется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 w:rsidR="002A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D5E6C" w:rsidRP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Балтайского муниципального района 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области.</w:t>
      </w:r>
    </w:p>
    <w:p w:rsidR="00854E13" w:rsidRDefault="00854E13" w:rsidP="007D5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9.2. Результаты осуществления контроля за соблюдением концессионером условий концессионного соглашения оформляются актом о результатах контроля, который не позднее дня, следующего за подписанием, размещается на официальном сайте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r w:rsidRPr="0085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в информационно-телекоммуникационной сети "Интернет" и обеспечивается доступ к указанному акту в течение срока действия концессионного соглашения и после дня окончания его срока действия в течение трех лет.</w:t>
      </w:r>
    </w:p>
    <w:p w:rsidR="007D5E6C" w:rsidRDefault="007D5E6C" w:rsidP="007D5E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650" w:rsidRPr="00074065" w:rsidRDefault="007D5E6C" w:rsidP="007D5E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40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Верно:</w:t>
      </w:r>
      <w:r w:rsidR="002A5650" w:rsidRPr="000740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главный специалист администрации</w:t>
      </w:r>
    </w:p>
    <w:p w:rsidR="007D5E6C" w:rsidRPr="00854E13" w:rsidRDefault="002A5650" w:rsidP="002A56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0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Царевщинского муниципального образования </w:t>
      </w:r>
      <w:r w:rsidR="007D5E6C" w:rsidRPr="000740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0740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Е.М.Бобкова</w:t>
      </w:r>
      <w:r w:rsidR="007D5E6C" w:rsidRPr="000740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854E13" w:rsidRDefault="00854E13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p w:rsidR="008A475C" w:rsidRDefault="008A475C" w:rsidP="00854E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75C" w:rsidTr="008A475C">
        <w:tc>
          <w:tcPr>
            <w:tcW w:w="4785" w:type="dxa"/>
          </w:tcPr>
          <w:p w:rsidR="008A475C" w:rsidRDefault="008A475C" w:rsidP="00854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8A475C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8A475C">
              <w:rPr>
                <w:rFonts w:ascii="Times New Roman" w:hAnsi="Times New Roman"/>
                <w:sz w:val="28"/>
                <w:szCs w:val="28"/>
              </w:rPr>
              <w:t xml:space="preserve">о порядке подготовки концессионных соглашений, реализуемых в отношении муниципального имущества </w:t>
            </w:r>
            <w:r w:rsidR="002A56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Царевщинского</w:t>
            </w:r>
            <w:r w:rsidRPr="008A475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Балтайского муниципального района Саратовской области</w:t>
            </w:r>
          </w:p>
        </w:tc>
      </w:tr>
    </w:tbl>
    <w:p w:rsidR="008A475C" w:rsidRPr="008A475C" w:rsidRDefault="008A475C" w:rsidP="008A4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75C" w:rsidRPr="008A475C" w:rsidRDefault="008A475C" w:rsidP="008A47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объектов, в отношении которых планируется закл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ючение концессионных соглашений</w:t>
      </w:r>
      <w:r w:rsidR="00EA6DA5">
        <w:rPr>
          <w:rStyle w:val="a8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endnoteReference w:id="2"/>
      </w:r>
    </w:p>
    <w:p w:rsidR="008A475C" w:rsidRPr="008A475C" w:rsidRDefault="008A475C" w:rsidP="008A47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____________ год</w:t>
      </w:r>
    </w:p>
    <w:p w:rsidR="008A475C" w:rsidRDefault="008A475C" w:rsidP="008A47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 администрации </w:t>
      </w:r>
      <w:r w:rsidR="002A5650" w:rsidRPr="002A56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Царевщинского</w:t>
      </w:r>
      <w:r w:rsidRPr="008A4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  Балтайского муниципального района Саратовской области</w:t>
      </w:r>
    </w:p>
    <w:p w:rsidR="008A475C" w:rsidRDefault="008A475C" w:rsidP="008A475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126"/>
        <w:gridCol w:w="1627"/>
        <w:gridCol w:w="2076"/>
        <w:gridCol w:w="1258"/>
        <w:gridCol w:w="1950"/>
      </w:tblGrid>
      <w:tr w:rsidR="008A475C" w:rsidTr="00EA6DA5">
        <w:tc>
          <w:tcPr>
            <w:tcW w:w="534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27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Адрес объекта, кадастровый номер, реквизиты документа о регистрации права собственности (в том числе земельного участка)</w:t>
            </w:r>
          </w:p>
        </w:tc>
        <w:tc>
          <w:tcPr>
            <w:tcW w:w="2076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Дата ввода в эксплуатацию объекта</w:t>
            </w:r>
          </w:p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(год постройки)/срок проведения реконструкции объекта</w:t>
            </w:r>
          </w:p>
        </w:tc>
        <w:tc>
          <w:tcPr>
            <w:tcW w:w="1258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Краткое описание объекта (состав объекта</w:t>
            </w:r>
          </w:p>
        </w:tc>
        <w:tc>
          <w:tcPr>
            <w:tcW w:w="1950" w:type="dxa"/>
          </w:tcPr>
          <w:p w:rsidR="008A475C" w:rsidRPr="008A475C" w:rsidRDefault="008A475C" w:rsidP="008A47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75C">
              <w:rPr>
                <w:rFonts w:ascii="Times New Roman" w:hAnsi="Times New Roman"/>
                <w:b/>
                <w:sz w:val="28"/>
                <w:szCs w:val="28"/>
              </w:rPr>
              <w:t>Цели и сроки использования (эксплуатации) объекта</w:t>
            </w:r>
          </w:p>
        </w:tc>
      </w:tr>
      <w:tr w:rsidR="008A475C" w:rsidTr="00EA6DA5">
        <w:tc>
          <w:tcPr>
            <w:tcW w:w="534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8A475C" w:rsidRPr="00EA6DA5" w:rsidRDefault="00EA6DA5" w:rsidP="00EA6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A475C" w:rsidTr="00EA6DA5">
        <w:tc>
          <w:tcPr>
            <w:tcW w:w="534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A475C" w:rsidRDefault="008A475C" w:rsidP="008A47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75C" w:rsidRPr="00854E13" w:rsidRDefault="008A475C" w:rsidP="008A4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475C" w:rsidRPr="00854E13" w:rsidSect="002A565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0D" w:rsidRDefault="0071200D" w:rsidP="008A475C">
      <w:pPr>
        <w:spacing w:after="0" w:line="240" w:lineRule="auto"/>
      </w:pPr>
      <w:r>
        <w:separator/>
      </w:r>
    </w:p>
  </w:endnote>
  <w:endnote w:type="continuationSeparator" w:id="1">
    <w:p w:rsidR="0071200D" w:rsidRDefault="0071200D" w:rsidP="008A475C">
      <w:pPr>
        <w:spacing w:after="0" w:line="240" w:lineRule="auto"/>
      </w:pPr>
      <w:r>
        <w:continuationSeparator/>
      </w:r>
    </w:p>
  </w:endnote>
  <w:endnote w:id="2">
    <w:p w:rsidR="00EA6DA5" w:rsidRPr="00FA4B19" w:rsidRDefault="00EA6DA5" w:rsidP="00EA6D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6DA5">
        <w:rPr>
          <w:rStyle w:val="a8"/>
          <w:rFonts w:ascii="Times New Roman" w:hAnsi="Times New Roman"/>
          <w:sz w:val="20"/>
          <w:szCs w:val="20"/>
        </w:rPr>
        <w:endnoteRef/>
      </w:r>
      <w:r w:rsidRPr="00FA4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министерство экономического развития области дополнительно представляются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EA6DA5" w:rsidRPr="00EA6DA5" w:rsidRDefault="00EA6DA5" w:rsidP="00EA6D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D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6DA5" w:rsidRDefault="00EA6DA5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0D" w:rsidRDefault="0071200D" w:rsidP="008A475C">
      <w:pPr>
        <w:spacing w:after="0" w:line="240" w:lineRule="auto"/>
      </w:pPr>
      <w:r>
        <w:separator/>
      </w:r>
    </w:p>
  </w:footnote>
  <w:footnote w:type="continuationSeparator" w:id="1">
    <w:p w:rsidR="0071200D" w:rsidRDefault="0071200D" w:rsidP="008A4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6A3"/>
    <w:rsid w:val="000155DB"/>
    <w:rsid w:val="00074065"/>
    <w:rsid w:val="0020397B"/>
    <w:rsid w:val="002A5650"/>
    <w:rsid w:val="00384E0A"/>
    <w:rsid w:val="003F6219"/>
    <w:rsid w:val="005D4DFB"/>
    <w:rsid w:val="00637A2C"/>
    <w:rsid w:val="006556A3"/>
    <w:rsid w:val="00672EE6"/>
    <w:rsid w:val="00673D12"/>
    <w:rsid w:val="0071200D"/>
    <w:rsid w:val="007D5E6C"/>
    <w:rsid w:val="00854E13"/>
    <w:rsid w:val="008A475C"/>
    <w:rsid w:val="0096386E"/>
    <w:rsid w:val="009870CC"/>
    <w:rsid w:val="00A57A99"/>
    <w:rsid w:val="00B576EB"/>
    <w:rsid w:val="00C1310F"/>
    <w:rsid w:val="00DF7513"/>
    <w:rsid w:val="00EA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13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854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5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A475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475C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A4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13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854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5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A475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475C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A4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29D6BB400E5818A81315940PEn5M" TargetMode="External"/><Relationship Id="rId13" Type="http://schemas.openxmlformats.org/officeDocument/2006/relationships/hyperlink" Target="http://krasnozn.ru/documents/proekty-npa/proekt-reshenie-ob-utverzhdenii-polozheniya-o-porya/" TargetMode="External"/><Relationship Id="rId18" Type="http://schemas.openxmlformats.org/officeDocument/2006/relationships/hyperlink" Target="http://krasnozn.ru/documents/proekty-npa/proekt-reshenie-ob-utverzhdenii-polozheniya-o-porya/" TargetMode="External"/><Relationship Id="rId26" Type="http://schemas.openxmlformats.org/officeDocument/2006/relationships/hyperlink" Target="consultantplus://offline/ref=430D32ECD682B7BE19888FB8263C926518E29D65B705E5818A81315940PEn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D32ECD682B7BE19888FB8263C926518ED9E6EBD07E5818A81315940PEn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0D32ECD682B7BE19888FB8263C926518E29D6BB005E5818A81315940PEn5M" TargetMode="External"/><Relationship Id="rId17" Type="http://schemas.openxmlformats.org/officeDocument/2006/relationships/hyperlink" Target="consultantplus://offline/ref=430D32ECD682B7BE19888FB8263C926518ED9E6EBD07E5818A81315940PEn5M" TargetMode="External"/><Relationship Id="rId25" Type="http://schemas.openxmlformats.org/officeDocument/2006/relationships/hyperlink" Target="consultantplus://offline/ref=430D32ECD682B7BE19888FB8263C926518ED9E6EBD07E5818A81315940PEn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D32ECD682B7BE19888FB8263C926518ED9E6EBD07E5818A81315940PEn5M" TargetMode="External"/><Relationship Id="rId20" Type="http://schemas.openxmlformats.org/officeDocument/2006/relationships/hyperlink" Target="http://krasnozn.ru/documents/proekty-npa/proekt-reshenie-ob-utverzhdenii-polozheniya-o-porya/" TargetMode="External"/><Relationship Id="rId29" Type="http://schemas.openxmlformats.org/officeDocument/2006/relationships/hyperlink" Target="consultantplus://offline/ref=430D32ECD682B7BE19888FB8263C926518ED9E6EBD07E5818A81315940PEn5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D32ECD682B7BE19888FB8263C926518ED9E6EBD07E5818A81315940E5D6714348F579F4P5n4M" TargetMode="External"/><Relationship Id="rId24" Type="http://schemas.openxmlformats.org/officeDocument/2006/relationships/hyperlink" Target="consultantplus://offline/ref=430D32ECD682B7BE19888FB8263C926518ED9E6EBD07E5818A81315940PEn5M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krasnozn.ru/documents/proekty-npa/proekt-reshenie-ob-utverzhdenii-polozheniya-o-porya/" TargetMode="External"/><Relationship Id="rId23" Type="http://schemas.openxmlformats.org/officeDocument/2006/relationships/hyperlink" Target="consultantplus://offline/ref=430D32ECD682B7BE19888FB8263C926518ED9E6EBD07E5818A81315940E5D6714348F579F4575464PBn9M" TargetMode="External"/><Relationship Id="rId28" Type="http://schemas.openxmlformats.org/officeDocument/2006/relationships/hyperlink" Target="consultantplus://offline/ref=430D32ECD682B7BE19888FB8263C926518ED9E6EBD07E5818A81315940PEn5M" TargetMode="External"/><Relationship Id="rId10" Type="http://schemas.openxmlformats.org/officeDocument/2006/relationships/hyperlink" Target="consultantplus://offline/ref=430D32ECD682B7BE19888FB8263C926518ED9E6EBD07E5818A81315940PEn5M" TargetMode="External"/><Relationship Id="rId19" Type="http://schemas.openxmlformats.org/officeDocument/2006/relationships/hyperlink" Target="consultantplus://offline/ref=430D32ECD682B7BE19888FB8263C926518ED9E6EBD07E5818A81315940PEn5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D32ECD682B7BE19888FB8263C926518ED9E6EBD07E5818A81315940PEn5M" TargetMode="External"/><Relationship Id="rId14" Type="http://schemas.openxmlformats.org/officeDocument/2006/relationships/hyperlink" Target="http://krasnozn.ru/documents/proekty-npa/proekt-reshenie-ob-utverzhdenii-polozheniya-o-porya/" TargetMode="External"/><Relationship Id="rId22" Type="http://schemas.openxmlformats.org/officeDocument/2006/relationships/hyperlink" Target="consultantplus://offline/ref=430D32ECD682B7BE19888FB8263C926518ED9E6EBD07E5818A81315940E5D6714348F57AF6P5n6M" TargetMode="External"/><Relationship Id="rId27" Type="http://schemas.openxmlformats.org/officeDocument/2006/relationships/hyperlink" Target="consultantplus://offline/ref=430D32ECD682B7BE19888FB8263C926518ED9E6EBD07E5818A81315940PEn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50DF-FD05-4073-BD24-F25CE219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dcterms:created xsi:type="dcterms:W3CDTF">2019-07-03T09:58:00Z</dcterms:created>
  <dcterms:modified xsi:type="dcterms:W3CDTF">2019-08-01T09:33:00Z</dcterms:modified>
</cp:coreProperties>
</file>