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84" w:rsidRPr="000E6445" w:rsidRDefault="00090A3F" w:rsidP="00C4235B">
      <w:pPr>
        <w:widowControl w:val="0"/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 w:rsidRPr="00090A3F">
        <w:rPr>
          <w:rFonts w:ascii="Arial" w:hAnsi="Arial"/>
          <w:b/>
          <w:noProof/>
          <w:kern w:val="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I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CbmdkI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AD5784" w:rsidRDefault="00AD5784" w:rsidP="00AD5784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AD5784" w:rsidRPr="00356CEA">
        <w:rPr>
          <w:rFonts w:ascii="Courier New" w:hAnsi="Courier New"/>
          <w:noProof/>
          <w:spacing w:val="20"/>
          <w:sz w:val="24"/>
          <w:szCs w:val="24"/>
        </w:rPr>
        <w:drawing>
          <wp:inline distT="0" distB="0" distL="0" distR="0">
            <wp:extent cx="647065" cy="79121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84" w:rsidRPr="000E6445" w:rsidRDefault="00AD5784" w:rsidP="00AD5784">
      <w:pPr>
        <w:widowControl w:val="0"/>
        <w:suppressAutoHyphens/>
        <w:spacing w:after="0" w:line="252" w:lineRule="auto"/>
        <w:ind w:left="-540"/>
        <w:jc w:val="center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 w:rsidRPr="000E6445"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AD5784" w:rsidRPr="000E6445" w:rsidRDefault="00C4235B" w:rsidP="00AD5784">
      <w:pPr>
        <w:widowControl w:val="0"/>
        <w:suppressAutoHyphens/>
        <w:overflowPunct w:val="0"/>
        <w:autoSpaceDE w:val="0"/>
        <w:spacing w:after="0" w:line="252" w:lineRule="auto"/>
        <w:ind w:left="-540"/>
        <w:jc w:val="center"/>
        <w:textAlignment w:val="baseline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>БОЛЬШЕОЗЕРСКОГО</w:t>
      </w:r>
      <w:r w:rsidR="00AD5784" w:rsidRPr="000E6445"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AD5784" w:rsidRPr="000E6445" w:rsidRDefault="00AD5784" w:rsidP="00AD5784">
      <w:pPr>
        <w:widowControl w:val="0"/>
        <w:suppressAutoHyphens/>
        <w:overflowPunct w:val="0"/>
        <w:autoSpaceDE w:val="0"/>
        <w:spacing w:after="0" w:line="252" w:lineRule="auto"/>
        <w:ind w:left="-540"/>
        <w:jc w:val="center"/>
        <w:textAlignment w:val="baseline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 w:rsidRPr="000E6445"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AD5784" w:rsidRPr="000E6445" w:rsidRDefault="00AD5784" w:rsidP="00AD5784">
      <w:pPr>
        <w:widowControl w:val="0"/>
        <w:suppressAutoHyphens/>
        <w:overflowPunct w:val="0"/>
        <w:autoSpaceDE w:val="0"/>
        <w:spacing w:after="0" w:line="252" w:lineRule="auto"/>
        <w:ind w:left="-540"/>
        <w:jc w:val="center"/>
        <w:textAlignment w:val="baseline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 w:rsidRPr="000E6445"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AD5784" w:rsidRPr="00356CEA" w:rsidRDefault="00AD5784" w:rsidP="00AD5784">
      <w:pPr>
        <w:widowControl w:val="0"/>
        <w:suppressAutoHyphens/>
        <w:overflowPunct w:val="0"/>
        <w:autoSpaceDE w:val="0"/>
        <w:spacing w:before="240" w:after="0" w:line="100" w:lineRule="atLeast"/>
        <w:ind w:left="-540"/>
        <w:jc w:val="center"/>
        <w:textAlignment w:val="baseline"/>
        <w:rPr>
          <w:rFonts w:ascii="Times New Roman" w:hAnsi="Times New Roman"/>
          <w:b/>
          <w:spacing w:val="110"/>
          <w:kern w:val="1"/>
          <w:sz w:val="30"/>
          <w:szCs w:val="20"/>
          <w:lang w:eastAsia="ar-SA"/>
        </w:rPr>
      </w:pPr>
      <w:r w:rsidRPr="00356CEA">
        <w:rPr>
          <w:rFonts w:ascii="Times New Roman" w:hAnsi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AD5784" w:rsidRPr="00356CEA" w:rsidRDefault="00AD5784" w:rsidP="00AD5784">
      <w:pPr>
        <w:tabs>
          <w:tab w:val="left" w:pos="1985"/>
        </w:tabs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AD5784" w:rsidRPr="00356CEA" w:rsidRDefault="00AD5784" w:rsidP="00AD5784">
      <w:pPr>
        <w:tabs>
          <w:tab w:val="left" w:pos="1985"/>
        </w:tabs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AD5784" w:rsidRPr="00356CEA" w:rsidRDefault="00AD5784" w:rsidP="00AD5784">
      <w:pPr>
        <w:tabs>
          <w:tab w:val="left" w:pos="1985"/>
        </w:tabs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AD5784" w:rsidRPr="000E6445" w:rsidRDefault="00AD5784" w:rsidP="00AD5784">
      <w:pPr>
        <w:tabs>
          <w:tab w:val="left" w:pos="1985"/>
        </w:tabs>
        <w:spacing w:after="0" w:line="240" w:lineRule="auto"/>
        <w:rPr>
          <w:rFonts w:ascii="Times New Roman" w:hAnsi="Times New Roman" w:cs="Tahoma"/>
          <w:sz w:val="28"/>
          <w:szCs w:val="28"/>
          <w:u w:val="single"/>
        </w:rPr>
      </w:pPr>
      <w:r w:rsidRPr="000E6445">
        <w:rPr>
          <w:rFonts w:ascii="Times New Roman" w:hAnsi="Times New Roman" w:cs="Tahoma"/>
          <w:sz w:val="28"/>
          <w:szCs w:val="28"/>
          <w:u w:val="single"/>
        </w:rPr>
        <w:t xml:space="preserve">от  </w:t>
      </w:r>
      <w:r w:rsidR="00C4235B">
        <w:rPr>
          <w:rFonts w:ascii="Times New Roman" w:hAnsi="Times New Roman" w:cs="Tahoma"/>
          <w:sz w:val="28"/>
          <w:szCs w:val="28"/>
          <w:u w:val="single"/>
        </w:rPr>
        <w:t xml:space="preserve">11.06.2021  </w:t>
      </w:r>
      <w:r w:rsidRPr="000E6445">
        <w:rPr>
          <w:rFonts w:ascii="Times New Roman" w:hAnsi="Times New Roman" w:cs="Tahoma"/>
          <w:sz w:val="28"/>
          <w:szCs w:val="28"/>
          <w:u w:val="single"/>
        </w:rPr>
        <w:t>№</w:t>
      </w:r>
      <w:r w:rsidR="00C4235B">
        <w:rPr>
          <w:rFonts w:ascii="Times New Roman" w:hAnsi="Times New Roman" w:cs="Tahoma"/>
          <w:sz w:val="28"/>
          <w:szCs w:val="28"/>
          <w:u w:val="single"/>
        </w:rPr>
        <w:t xml:space="preserve"> 24</w:t>
      </w:r>
      <w:r w:rsidRPr="000E6445">
        <w:rPr>
          <w:rFonts w:ascii="Times New Roman" w:hAnsi="Times New Roman" w:cs="Tahoma"/>
          <w:sz w:val="28"/>
          <w:szCs w:val="28"/>
          <w:u w:val="single"/>
        </w:rPr>
        <w:t xml:space="preserve"> </w:t>
      </w:r>
    </w:p>
    <w:p w:rsidR="00AD5784" w:rsidRPr="000E6445" w:rsidRDefault="00AD5784" w:rsidP="00AD578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ahoma"/>
          <w:sz w:val="24"/>
          <w:szCs w:val="24"/>
          <w:u w:val="single"/>
        </w:rPr>
      </w:pPr>
      <w:proofErr w:type="gramStart"/>
      <w:r w:rsidRPr="000E6445">
        <w:rPr>
          <w:rFonts w:ascii="Times New Roman" w:hAnsi="Times New Roman" w:cs="Tahoma"/>
          <w:sz w:val="24"/>
          <w:szCs w:val="24"/>
          <w:lang w:val="en-US"/>
        </w:rPr>
        <w:t>c</w:t>
      </w:r>
      <w:r w:rsidRPr="000E6445">
        <w:rPr>
          <w:rFonts w:ascii="Times New Roman" w:hAnsi="Times New Roman" w:cs="Tahoma"/>
          <w:sz w:val="24"/>
          <w:szCs w:val="24"/>
        </w:rPr>
        <w:t>.</w:t>
      </w:r>
      <w:proofErr w:type="spellStart"/>
      <w:r w:rsidRPr="000E6445">
        <w:rPr>
          <w:rFonts w:ascii="Times New Roman" w:hAnsi="Times New Roman" w:cs="Tahoma"/>
          <w:sz w:val="24"/>
          <w:szCs w:val="24"/>
        </w:rPr>
        <w:t>Б-Озерки</w:t>
      </w:r>
      <w:proofErr w:type="spellEnd"/>
      <w:proofErr w:type="gramEnd"/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C4235B" w:rsidRDefault="00C4235B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578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униципального образования от 10.09.2019</w:t>
      </w:r>
    </w:p>
    <w:p w:rsidR="00C4235B" w:rsidRDefault="00C4235B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55 </w:t>
      </w:r>
      <w:r w:rsidR="00AD5784">
        <w:rPr>
          <w:rFonts w:ascii="Times New Roman" w:hAnsi="Times New Roman"/>
          <w:b/>
          <w:sz w:val="28"/>
          <w:szCs w:val="28"/>
        </w:rPr>
        <w:t>«</w:t>
      </w:r>
      <w:r w:rsidR="00AD5784" w:rsidRPr="00BC0E4C"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5784" w:rsidRPr="00BC0E4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="00AD5784" w:rsidRPr="00BC0E4C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="00AD5784" w:rsidRPr="00BC0E4C">
        <w:rPr>
          <w:rFonts w:ascii="Times New Roman" w:hAnsi="Times New Roman"/>
          <w:b/>
          <w:sz w:val="28"/>
          <w:szCs w:val="28"/>
        </w:rPr>
        <w:t>-</w:t>
      </w:r>
    </w:p>
    <w:p w:rsidR="00C4235B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C0E4C">
        <w:rPr>
          <w:rFonts w:ascii="Times New Roman" w:hAnsi="Times New Roman"/>
          <w:b/>
          <w:sz w:val="28"/>
          <w:szCs w:val="28"/>
        </w:rPr>
        <w:t>частном</w:t>
      </w:r>
      <w:proofErr w:type="gramEnd"/>
      <w:r w:rsidRPr="00BC0E4C">
        <w:rPr>
          <w:rFonts w:ascii="Times New Roman" w:hAnsi="Times New Roman"/>
          <w:b/>
          <w:sz w:val="28"/>
          <w:szCs w:val="28"/>
        </w:rPr>
        <w:t xml:space="preserve"> партнерстве в </w:t>
      </w:r>
      <w:proofErr w:type="spellStart"/>
      <w:r w:rsidR="00C4235B">
        <w:rPr>
          <w:rFonts w:ascii="Times New Roman" w:hAnsi="Times New Roman"/>
          <w:b/>
          <w:sz w:val="28"/>
          <w:szCs w:val="28"/>
        </w:rPr>
        <w:t>Большеозерском</w:t>
      </w:r>
      <w:proofErr w:type="spellEnd"/>
      <w:r w:rsidRPr="00BC0E4C">
        <w:rPr>
          <w:rFonts w:ascii="Times New Roman" w:hAnsi="Times New Roman"/>
          <w:b/>
          <w:sz w:val="28"/>
          <w:szCs w:val="28"/>
        </w:rPr>
        <w:t xml:space="preserve"> </w:t>
      </w:r>
    </w:p>
    <w:p w:rsidR="00AD5784" w:rsidRPr="00BC0E4C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E4C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84" w:rsidRPr="00BC0E4C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84" w:rsidRPr="005D33DB" w:rsidRDefault="00AD5784" w:rsidP="00AD5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Минэкономразвития России от 02.02.2021 № 40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"</w:t>
      </w:r>
      <w:r w:rsidRPr="00C4235B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C4235B">
        <w:rPr>
          <w:rFonts w:ascii="Times New Roman" w:hAnsi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C4235B">
        <w:rPr>
          <w:rFonts w:ascii="Times New Roman" w:hAnsi="Times New Roman"/>
          <w:sz w:val="28"/>
          <w:szCs w:val="28"/>
          <w:shd w:val="clear" w:color="auto" w:fill="FFFFFF"/>
        </w:rPr>
        <w:t xml:space="preserve"> партнерстве</w:t>
      </w:r>
      <w:r w:rsidRPr="00AD57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</w:t>
      </w:r>
      <w:r w:rsidRPr="00BC0E4C">
        <w:rPr>
          <w:rFonts w:ascii="Times New Roman" w:hAnsi="Times New Roman"/>
          <w:sz w:val="28"/>
          <w:szCs w:val="28"/>
        </w:rPr>
        <w:t xml:space="preserve">, </w:t>
      </w:r>
      <w:r w:rsidRPr="005D33DB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C4235B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3DB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C4235B">
        <w:rPr>
          <w:rFonts w:ascii="Times New Roman" w:eastAsia="Andale Sans UI" w:hAnsi="Times New Roman" w:cs="Tahoma"/>
          <w:kern w:val="2"/>
          <w:sz w:val="28"/>
          <w:szCs w:val="28"/>
        </w:rPr>
        <w:t>Большеозерского</w:t>
      </w:r>
      <w:proofErr w:type="spellEnd"/>
      <w:r w:rsidRPr="005D33DB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AD5784" w:rsidRPr="005D33DB" w:rsidRDefault="00AD5784" w:rsidP="00AD57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33DB">
        <w:rPr>
          <w:rFonts w:ascii="Times New Roman" w:hAnsi="Times New Roman"/>
          <w:b/>
          <w:sz w:val="28"/>
          <w:szCs w:val="28"/>
        </w:rPr>
        <w:t>ПОСТАНОВЛЯЮ:</w:t>
      </w: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E4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BC0E4C">
        <w:rPr>
          <w:rFonts w:ascii="Times New Roman" w:hAnsi="Times New Roman"/>
          <w:sz w:val="28"/>
          <w:szCs w:val="28"/>
        </w:rPr>
        <w:t xml:space="preserve"> </w:t>
      </w:r>
      <w:r w:rsidRPr="00AD5784">
        <w:rPr>
          <w:rFonts w:ascii="Times New Roman" w:hAnsi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235B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C4235B">
        <w:rPr>
          <w:rFonts w:ascii="Times New Roman" w:hAnsi="Times New Roman"/>
          <w:sz w:val="28"/>
          <w:szCs w:val="28"/>
        </w:rPr>
        <w:t xml:space="preserve"> </w:t>
      </w:r>
      <w:r w:rsidRPr="00AD5784">
        <w:rPr>
          <w:rFonts w:ascii="Times New Roman" w:hAnsi="Times New Roman"/>
          <w:sz w:val="28"/>
          <w:szCs w:val="28"/>
        </w:rPr>
        <w:t>муниципального образования от</w:t>
      </w:r>
      <w:r w:rsidR="00C4235B">
        <w:rPr>
          <w:rFonts w:ascii="Times New Roman" w:hAnsi="Times New Roman"/>
          <w:sz w:val="28"/>
          <w:szCs w:val="28"/>
        </w:rPr>
        <w:t xml:space="preserve"> 11.06.2021 № 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84">
        <w:rPr>
          <w:rFonts w:ascii="Times New Roman" w:hAnsi="Times New Roman"/>
          <w:sz w:val="28"/>
          <w:szCs w:val="28"/>
        </w:rPr>
        <w:t>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8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AD5784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AD5784">
        <w:rPr>
          <w:rFonts w:ascii="Times New Roman" w:hAnsi="Times New Roman"/>
          <w:sz w:val="28"/>
          <w:szCs w:val="28"/>
        </w:rPr>
        <w:t xml:space="preserve"> партнерстве в </w:t>
      </w:r>
      <w:proofErr w:type="spellStart"/>
      <w:r w:rsidR="00C4235B">
        <w:rPr>
          <w:rFonts w:ascii="Times New Roman" w:hAnsi="Times New Roman"/>
          <w:sz w:val="28"/>
          <w:szCs w:val="28"/>
        </w:rPr>
        <w:t>Большеозерском</w:t>
      </w:r>
      <w:proofErr w:type="spellEnd"/>
      <w:r w:rsidR="00C4235B">
        <w:rPr>
          <w:rFonts w:ascii="Times New Roman" w:hAnsi="Times New Roman"/>
          <w:sz w:val="28"/>
          <w:szCs w:val="28"/>
        </w:rPr>
        <w:t xml:space="preserve"> </w:t>
      </w:r>
      <w:r w:rsidRPr="00AD5784">
        <w:rPr>
          <w:rFonts w:ascii="Times New Roman" w:hAnsi="Times New Roman"/>
          <w:sz w:val="28"/>
          <w:szCs w:val="28"/>
        </w:rPr>
        <w:t>муниципальном образовании»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приложение к постановлению статьей 25.1 следующего содержания:</w:t>
      </w:r>
    </w:p>
    <w:p w:rsidR="00AD5784" w:rsidRPr="00C4235B" w:rsidRDefault="00AD5784" w:rsidP="00C42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>«</w:t>
      </w:r>
      <w:r w:rsidRPr="00C4235B">
        <w:rPr>
          <w:rFonts w:ascii="Times New Roman" w:hAnsi="Times New Roman"/>
          <w:b/>
          <w:sz w:val="28"/>
          <w:szCs w:val="28"/>
        </w:rPr>
        <w:t xml:space="preserve">Статья 25.1 Мониторинг реализации соглашений о </w:t>
      </w:r>
      <w:proofErr w:type="spellStart"/>
      <w:r w:rsidRPr="00C4235B">
        <w:rPr>
          <w:rFonts w:ascii="Times New Roman" w:hAnsi="Times New Roman"/>
          <w:b/>
          <w:sz w:val="28"/>
          <w:szCs w:val="28"/>
        </w:rPr>
        <w:t>муниципально-частном</w:t>
      </w:r>
      <w:proofErr w:type="spellEnd"/>
      <w:r w:rsidRPr="00C4235B">
        <w:rPr>
          <w:rFonts w:ascii="Times New Roman" w:hAnsi="Times New Roman"/>
          <w:b/>
          <w:sz w:val="28"/>
          <w:szCs w:val="28"/>
        </w:rPr>
        <w:t xml:space="preserve"> партнерстве</w:t>
      </w:r>
    </w:p>
    <w:p w:rsidR="00C4235B" w:rsidRDefault="00AD5784" w:rsidP="00C42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35B">
        <w:rPr>
          <w:rFonts w:ascii="Times New Roman" w:hAnsi="Times New Roman"/>
          <w:sz w:val="28"/>
          <w:szCs w:val="28"/>
        </w:rPr>
        <w:t>2.1 Мониторинг соглашений, в которых публичным партнером является муниципальное образование, в том числе соглашений, заключенных по результатам проведения совместного конкурса с участием Саратовской области (за исключением проведения совместного конкурса с участием Российской Федерации), проводится уполномоченным органом.</w:t>
      </w:r>
      <w:r w:rsidRPr="00C4235B">
        <w:rPr>
          <w:rFonts w:ascii="Times New Roman" w:hAnsi="Times New Roman"/>
          <w:sz w:val="28"/>
          <w:szCs w:val="28"/>
        </w:rPr>
        <w:br/>
        <w:t xml:space="preserve">2.2. Уполномоченный орган местного самоуправления  муниципального образования ежегодно до 1 февраля года, следующего за отчетным годом, представляет в уполномоченный орган результаты мониторинга соглашений </w:t>
      </w:r>
      <w:r w:rsidRPr="00C4235B">
        <w:rPr>
          <w:rFonts w:ascii="Times New Roman" w:hAnsi="Times New Roman"/>
          <w:sz w:val="28"/>
          <w:szCs w:val="28"/>
        </w:rPr>
        <w:lastRenderedPageBreak/>
        <w:t xml:space="preserve">о </w:t>
      </w:r>
      <w:proofErr w:type="spellStart"/>
      <w:r w:rsidRPr="00C4235B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C4235B">
        <w:rPr>
          <w:rFonts w:ascii="Times New Roman" w:hAnsi="Times New Roman"/>
          <w:sz w:val="28"/>
          <w:szCs w:val="28"/>
        </w:rPr>
        <w:t xml:space="preserve"> партнерстве, а также размещает результаты мониторинга на своем официальном сайте в информационно-телекоммуникационной сети "Интернет".</w:t>
      </w:r>
    </w:p>
    <w:p w:rsidR="00AD5784" w:rsidRPr="00C4235B" w:rsidRDefault="00AD5784" w:rsidP="00C42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35B">
        <w:rPr>
          <w:rFonts w:ascii="Times New Roman" w:hAnsi="Times New Roman"/>
          <w:sz w:val="28"/>
          <w:szCs w:val="28"/>
        </w:rPr>
        <w:t xml:space="preserve">2.3. Включение проектов </w:t>
      </w:r>
      <w:proofErr w:type="spellStart"/>
      <w:proofErr w:type="gramStart"/>
      <w:r w:rsidRPr="00C4235B">
        <w:rPr>
          <w:rFonts w:ascii="Times New Roman" w:hAnsi="Times New Roman"/>
          <w:sz w:val="28"/>
          <w:szCs w:val="28"/>
        </w:rPr>
        <w:t>муниципального-частного</w:t>
      </w:r>
      <w:proofErr w:type="spellEnd"/>
      <w:proofErr w:type="gramEnd"/>
      <w:r w:rsidRPr="00C4235B">
        <w:rPr>
          <w:rFonts w:ascii="Times New Roman" w:hAnsi="Times New Roman"/>
          <w:sz w:val="28"/>
          <w:szCs w:val="28"/>
        </w:rPr>
        <w:t xml:space="preserve"> партнерства в Сведения осуществляется на основании информации, размещенной в государственной автоматизированной системе "Управление".».</w:t>
      </w:r>
    </w:p>
    <w:p w:rsidR="00AD5784" w:rsidRPr="005D33DB" w:rsidRDefault="00AD5784" w:rsidP="00AD5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DB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AD5784" w:rsidRPr="005D33DB" w:rsidRDefault="00AD5784" w:rsidP="00AD5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DB">
        <w:rPr>
          <w:rFonts w:ascii="Times New Roman" w:hAnsi="Times New Roman"/>
          <w:sz w:val="28"/>
          <w:szCs w:val="28"/>
        </w:rPr>
        <w:t>3.</w:t>
      </w:r>
      <w:proofErr w:type="gramStart"/>
      <w:r w:rsidRPr="005D33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33D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35B" w:rsidRDefault="00C4235B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</w:t>
      </w:r>
      <w:r w:rsidR="00AD5784" w:rsidRPr="005D3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AD5784" w:rsidRPr="005D33DB" w:rsidRDefault="00C4235B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Andale Sans UI" w:hAnsi="Times New Roman" w:cs="Tahoma"/>
          <w:b/>
          <w:kern w:val="2"/>
          <w:sz w:val="28"/>
          <w:szCs w:val="28"/>
        </w:rPr>
        <w:t>Большеозерского</w:t>
      </w:r>
      <w:proofErr w:type="spellEnd"/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3DB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4235B">
        <w:rPr>
          <w:rFonts w:ascii="Times New Roman" w:hAnsi="Times New Roman"/>
          <w:b/>
          <w:sz w:val="28"/>
          <w:szCs w:val="28"/>
        </w:rPr>
        <w:t>Е.Ю. Акимчева</w:t>
      </w: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F2A" w:rsidRDefault="00701F2A"/>
    <w:sectPr w:rsidR="00701F2A" w:rsidSect="0070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84"/>
    <w:rsid w:val="00090A3F"/>
    <w:rsid w:val="00701F2A"/>
    <w:rsid w:val="00985C83"/>
    <w:rsid w:val="00AD5784"/>
    <w:rsid w:val="00C05454"/>
    <w:rsid w:val="00C4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5784"/>
    <w:pPr>
      <w:ind w:left="720"/>
      <w:contextualSpacing/>
    </w:pPr>
  </w:style>
  <w:style w:type="character" w:styleId="a6">
    <w:name w:val="Strong"/>
    <w:basedOn w:val="a0"/>
    <w:uiPriority w:val="22"/>
    <w:qFormat/>
    <w:rsid w:val="00AD5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</cp:revision>
  <cp:lastPrinted>2021-06-15T11:08:00Z</cp:lastPrinted>
  <dcterms:created xsi:type="dcterms:W3CDTF">2021-06-07T07:29:00Z</dcterms:created>
  <dcterms:modified xsi:type="dcterms:W3CDTF">2021-06-15T11:09:00Z</dcterms:modified>
</cp:coreProperties>
</file>