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tabs>
          <w:tab w:val="left" w:pos="7560" w:leader="none"/>
        </w:tabs>
        <w:spacing w:lineRule="exact" w:line="300" w:before="1332" w:after="0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</w:r>
    </w:p>
    <w:p>
      <w:pPr>
        <w:pStyle w:val="Normal"/>
        <w:spacing w:lineRule="auto" w: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spacing w:lineRule="auto" w: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 МУНИЦИПАЛЬНОГО ОБРАЗОВАНИЯ</w:t>
      </w:r>
    </w:p>
    <w:p>
      <w:pPr>
        <w:pStyle w:val="Normal"/>
        <w:spacing w:lineRule="auto" w: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РАЙОНА </w:t>
      </w:r>
    </w:p>
    <w:p>
      <w:pPr>
        <w:pStyle w:val="Normal"/>
        <w:spacing w:lineRule="auto" w:line="2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spacing w:before="240" w:after="0"/>
        <w:jc w:val="center"/>
        <w:rPr>
          <w:b/>
          <w:spacing w:val="110"/>
          <w:sz w:val="32"/>
          <w:szCs w:val="32"/>
        </w:rPr>
      </w:pPr>
      <w:r>
        <w:rPr>
          <w:b/>
          <w:spacing w:val="110"/>
          <w:sz w:val="32"/>
          <w:szCs w:val="32"/>
        </w:rPr>
        <w:t>ПОСТАНОВЛЕНИЕ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spacing w:lineRule="auto" w:line="288" w:before="80" w:after="0"/>
        <w:jc w:val="center"/>
        <w:rPr/>
      </w:pPr>
      <w:r>
        <w:rPr/>
      </w:r>
      <w:r>
        <w:pict>
          <v:rect fillcolor="#FFFFFF" style="position:absolute;width:223.45pt;height:17.95pt;mso-wrap-distance-left:9pt;mso-wrap-distance-right:9pt;margin-top:255.8pt;margin-left:82.55pt">
            <v:fill opacity="0f"/>
            <v:textbox inset="0.0104166666666667in,0.0104166666666667in,0.0104166666666667in,0.0104166666666667in">
              <w:txbxContent>
                <w:p>
                  <w:pPr>
                    <w:pStyle w:val="Normal"/>
                    <w:tabs>
                      <w:tab w:val="left" w:pos="1985" w:leader="none"/>
                    </w:tabs>
                    <w:rPr/>
                  </w:pPr>
                  <w:r>
                    <w:rPr/>
                    <w:t>От 21.12.2010г</w:t>
                    <w:tab/>
                    <w:t>№ 37</w:t>
                  </w:r>
                </w:p>
              </w:txbxContent>
            </v:textbox>
            <w10:wrap type="square" side="largest"/>
          </v:rect>
        </w:pic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spacing w:lineRule="auto" w:line="288" w:before="80" w:after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spacing w:lineRule="auto" w:line="288" w:before="8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  <w:t>с. Б-Озерки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целевой программе 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«Энергосбережение и повышение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энергетической эффективности на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Большеозерского муниципального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Балтайского муниципального</w:t>
      </w:r>
    </w:p>
    <w:p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Саратовской области до 2020 года»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в целях комплексного решения проблемы повышения эффективности использования энергетических ресурсов в организациях бюджетной сферы района, сокращения расходов бюджетов на обеспечение энергетическими ресурсами, руководствуясь статьей 69 Устава Большеозерского муниципального образования,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целевую программу «Энергосбережение и повышение энергетической эффективности на территории Большеозерского муниципального образования Балтайского муниципального района Саратовской области до 2020 года» согласно приложению.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1 января 2011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Большеозерского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>В.П.Полубаринов</w:t>
      </w:r>
    </w:p>
    <w:p>
      <w:pPr>
        <w:pStyle w:val="Normal"/>
        <w:rPr/>
      </w:pPr>
      <w:r>
        <w:rPr/>
      </w:r>
    </w:p>
    <w:p>
      <w:pPr>
        <w:pStyle w:val="Normal"/>
        <w:pageBreakBefore/>
        <w:ind w:left="4956" w:right="0" w:hanging="0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администрации Большеозерского муниципального образования от 21.12.2010г №37</w:t>
      </w:r>
    </w:p>
    <w:p>
      <w:pPr>
        <w:pStyle w:val="Normal"/>
        <w:ind w:left="5664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Муниципальная целевая программа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«Энергосбережение и повышение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энергетической эффективности на территории Большеозерского муниципального образования Балтайского муниципального района, Саратовской области до 2020 года»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с.Большие Озерки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программы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«Энергосбережение и повышение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энергетической эффективности на территории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Большеозерского муниципального образования Балтайского муниципального района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Саратовской области до 2020 года»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8"/>
        <w:gridCol w:w="6982"/>
      </w:tblGrid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«Энергосбережение и повышение энергетической эффективности на территории Большеозерского муниципального образования Балтайского муниципального района, Саратовской области до 2020 года»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Большеозерского муниципального образования Балтайского муниципального района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Большеозерского муниципального образования Балтайского муниципального района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Большеозерского муниципального образования Балтайского муниципального района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 – комплексное решение проблемы повышения эффективности использования энергетических ресурсов в организациях бюджетной сферы, сокращение расходов бюджетов на обеспечение энергетическими ресурсами.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являются: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1.повышение эффективности использования энергетических ресурсов в жилищном фонде, системах коммунальной инфраструктуры;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2.сокращение потерь энергетических ресурсов при их передаче, в том числе в системах коммунальной инфраструктуры;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3.повышение уровня оснащенности приборами учета используемых энергетических ресурсов.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– 2020 годы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федерального, областного и муниципального бюджетов.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2011-2020 годы планируются затраты в объеме 4360,0 тыс. рублей, в том числе: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 – 80,0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 – 470,0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670,0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870,0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410,0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610,0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400,0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350,0 тыс. рублей.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(прогнозно):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1308,0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 1744,0 тыс. рублей;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 1308,0 тыс. рублей;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Большеозерского муниципального образования Балтайского муниципального района</w:t>
            </w:r>
          </w:p>
        </w:tc>
      </w:tr>
      <w:tr>
        <w:trPr>
          <w:cantSplit w:val="false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должна обеспечить достижение следующих показателей: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энергоемкости на 40% относительно уровня 2007года.</w:t>
            </w:r>
          </w:p>
        </w:tc>
      </w:tr>
    </w:tbl>
    <w:p>
      <w:pPr>
        <w:pStyle w:val="Normal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2.Введение</w:t>
      </w:r>
    </w:p>
    <w:p>
      <w:pPr>
        <w:pStyle w:val="Normal"/>
        <w:rPr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энергосбережения и повышения энергетической эффективности экономики Большеозерского муниципального образования Балтайского муниципального района являются одними из самых актуальных на сегодняшний день. Поддержка и стимулирование энергосбережения, системность и комплексность проводимых мероприятий по энергосбережению и повышению энергетической эффективности позволит снизить энергоемкость муниципального продукта на 40%.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– комплексное решение проблемы повышения эффективности использования энергетических ресурсов в организациях бюджетной сферы, сокращение расходов бюджетов на обеспечение энергетическими ресурсами.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энергетических ресурсов в жилищном фонде, системах коммунальной инфраструктуры;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сокращение потерь энергетических ресурсов при их передаче, в том числе в системах коммунальной инфраструктуры;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оснащенности приборами учета используемых энергетических ресурсов;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сокращение расходов бюджетов на обеспечение энергетическими ресурсами муниципальных учреждений, органов местного самоуправления, а также расходов бюджетов на предоставление субсидий гражданам на внесение платы за коммунальные услуги с учетом изменения объемов использования энергетических ресурсов в указанных сферах;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</w:p>
    <w:p>
      <w:pPr>
        <w:pStyle w:val="13"/>
        <w:ind w:left="0"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3"/>
        <w:ind w:left="0"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</w:t>
      </w:r>
    </w:p>
    <w:p>
      <w:pPr>
        <w:pStyle w:val="13"/>
        <w:ind w:left="0" w:right="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3"/>
        <w:ind w:left="0" w:right="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фонд муниципального образования составляет 49,2 тыс.м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общей площади. В среднем на одного жителя приходится 20,6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общей площади (в 2008 году – 20,4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32"/>
        <w:ind w:left="0" w:right="0" w:hanging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27"/>
        <w:gridCol w:w="2433"/>
      </w:tblGrid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2009 год</w:t>
            </w:r>
          </w:p>
        </w:tc>
      </w:tr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тепловых сетей для подачи тепла и горячей воды, всего км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504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 сети, нуждающиеся в замене, км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504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</w:t>
            </w:r>
          </w:p>
        </w:tc>
      </w:tr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водопроводов, км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504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</w:tr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газопроводов, км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504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</w:tr>
      <w:tr>
        <w:trPr>
          <w:cantSplit w:val="false"/>
        </w:trPr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электрических сетей, км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32"/>
              <w:snapToGrid w:val="false"/>
              <w:spacing w:before="0" w:after="120"/>
              <w:ind w:left="0" w:right="504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</w:t>
            </w:r>
          </w:p>
        </w:tc>
      </w:tr>
    </w:tbl>
    <w:p>
      <w:pPr>
        <w:pStyle w:val="32"/>
        <w:ind w:left="0" w:right="0" w:hanging="0"/>
        <w:rPr/>
      </w:pPr>
      <w:r>
        <w:rPr/>
      </w:r>
    </w:p>
    <w:p>
      <w:pPr>
        <w:pStyle w:val="32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380"/>
        <w:gridCol w:w="2380"/>
      </w:tblGrid>
      <w:tr>
        <w:trPr>
          <w:tblHeader w:val="true"/>
          <w:trHeight w:val="568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jc w:val="left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iCs/>
                <w:sz w:val="27"/>
                <w:szCs w:val="27"/>
              </w:rPr>
              <w:t>Водоснабжение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ind w:left="0" w:right="0" w:hanging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</w:r>
          </w:p>
        </w:tc>
      </w:tr>
      <w:tr>
        <w:trPr>
          <w:trHeight w:val="305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snapToGrid w:val="false"/>
              <w:ind w:left="0" w:right="0" w:hanging="0"/>
              <w:jc w:val="left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Поднято воды насосными станциями 1 подъема, тыс.м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firstLine="11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30,6</w:t>
            </w:r>
          </w:p>
        </w:tc>
      </w:tr>
      <w:tr>
        <w:trPr>
          <w:trHeight w:val="305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snapToGrid w:val="false"/>
              <w:ind w:left="0" w:right="0" w:hanging="0"/>
              <w:jc w:val="left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Подано воды в сеть – всего, тыс. м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firstLine="11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30,6</w:t>
            </w:r>
          </w:p>
        </w:tc>
      </w:tr>
      <w:tr>
        <w:trPr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ind w:left="0" w:right="0" w:hanging="0"/>
              <w:jc w:val="left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Отпущено воды всем потребителям за год, тыс.м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28,8</w:t>
            </w:r>
          </w:p>
        </w:tc>
      </w:tr>
      <w:tr>
        <w:trPr>
          <w:trHeight w:val="460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ind w:left="0" w:right="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>
            <w:pPr>
              <w:pStyle w:val="13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населению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21,7</w:t>
            </w:r>
          </w:p>
        </w:tc>
      </w:tr>
      <w:tr>
        <w:trPr>
          <w:trHeight w:val="267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бюджетофинансируемым организациям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4,7</w:t>
            </w:r>
          </w:p>
        </w:tc>
      </w:tr>
      <w:tr>
        <w:trPr>
          <w:trHeight w:val="267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прочим организациям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0,8</w:t>
            </w:r>
          </w:p>
        </w:tc>
      </w:tr>
      <w:tr>
        <w:trPr>
          <w:trHeight w:val="267" w:hRule="atLeast"/>
          <w:cantSplit w:val="false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13"/>
              <w:snapToGrid w:val="false"/>
              <w:jc w:val="left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утечка и неучтенный расход воды, тыс.м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13"/>
              <w:tabs>
                <w:tab w:val="left" w:pos="1010" w:leader="none"/>
              </w:tabs>
              <w:snapToGrid w:val="false"/>
              <w:ind w:left="0" w:right="580" w:hanging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для расчета целевых показателей для муниципальных программ</w:t>
      </w:r>
    </w:p>
    <w:p>
      <w:pPr>
        <w:pStyle w:val="Normal"/>
        <w:ind w:left="357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98"/>
        <w:gridCol w:w="4110"/>
        <w:gridCol w:w="1044"/>
        <w:gridCol w:w="1217"/>
        <w:gridCol w:w="1260"/>
        <w:gridCol w:w="1143"/>
        <w:gridCol w:w="1123"/>
        <w:gridCol w:w="1133"/>
        <w:gridCol w:w="1143"/>
      </w:tblGrid>
      <w:tr>
        <w:trPr>
          <w:trHeight w:val="300" w:hRule="atLeast"/>
          <w:cantSplit w:val="false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№ </w:t>
            </w:r>
            <w:r>
              <w:rPr>
                <w:color w:val="000000"/>
                <w:szCs w:val="16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Общие сведения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Ед.изм.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Разбивка по годам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25" w:hRule="atLeast"/>
          <w:cantSplit w:val="false"/>
        </w:trPr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2007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2008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2009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2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6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26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Муниципальный продукт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млн.руб.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826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1128</w:t>
            </w:r>
          </w:p>
        </w:tc>
      </w:tr>
      <w:tr>
        <w:trPr>
          <w:trHeight w:val="273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Потребление ТЭР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тыс.т.у.т.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ЭЭ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45,8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78,9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76,0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ТЭ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воды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природного газа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8,97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9,71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7,84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0,36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2,02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2,12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8,97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9,71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  <w:t>7,84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Тариф на ЭЭ по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руб./ 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Тариф на ТЭ по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руб./ 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Тариф на воду по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руб. /куб.м.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Тариф на природный газ по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руб./ тыс.куб.м.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т.у.т.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т.у.т.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млн.руб.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млн.руб.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color w:val="000000"/>
                <w:szCs w:val="16"/>
              </w:rPr>
            </w:pPr>
            <w:r>
              <w:rPr>
                <w:bCs/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7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Расход ТЭ БУ, расчеты за которую осуществляются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БУ, в которых расчеты за ТЭ осуществляют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66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Расход ТЭ БУ, расчеты за которую осуществляются с применением расчетных способов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414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Площадь БУ, в которых расчеты за ТЭ осуществляют с применением расчетных способов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78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Расход воды на снабжение БУ, расчеты за которую осуществляются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Численность сотрудников бюджетного сектора, в котором расходы воды осуществляют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чел.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Численность сотрудников бюджетного сектора,в котором расходы воды осуществляют с применением расчетных способов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чел.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132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Расход ЭЭ на обеспечение БУ, расчеты за которую осуществляются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0.36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2,02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2,12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450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БУ, в котором расчеты за ЭЭ осуществляют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187,3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187,3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187,3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04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Расход ЭЭ на обеспечение БУ, расчеты за которую осуществляются с применением расчетных способов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73,9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352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Площадь БУ, в котором расчеты за ЭЭ осуществляют с применением расчетного способа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58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БУ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8,97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9,21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7.84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56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БУ, расчеты за который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 куб.м.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9,21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7,84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Бюджет МО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2,7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2,6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117,9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250,3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297,4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Общее количество БУ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Количество БУ, в отношении которых проведено обязательное энергетическое обследование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39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Общее количество муниципальных заказчиков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Количество муниципальных заказчиков, заключившие энергосервисные договоры (контракты)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товаров, работ, услуг, закупаемых для муниципальных нужд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Расходы бюджета МО на предоставление социальной поддержки гражданам по оплате жилого помещения и коммунальных услуг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тыс.руб.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Количество граждан, которым предоставляются социальная поддержка по оплате жилого помещения и коммунальных услуг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ЭЭ, потребляемой (используемой) в жилых домах (за исключением многоквартирных домов)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Объем ЭЭ,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ЭЭ, потребляемой (используемой) в многоквартирных домах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ЭЭ, потребляемой (используемой) в многоквартирных домах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ТЭ, потребляемой (используемой) в жилых домах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ТЭ, потребляемой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ТЭ, потребляемой (используемой) в многоквартирных домах МО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воды,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в жилых домах (за исключением многоквартирных домов)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в жилых домах (за исключением многоквартирных домов) МО, расчеты за который осуществляются с использованием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в многоквартирных домах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природного газа, потребляемого (используемого) в многоквартирных домах МО, расчеты за который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тыс.куб.м.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Число жилых домов, МО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1080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1058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1054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домовах, где расчеты за ТЭ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домах, где расчеты за ТЭ осуществляют с применением расчетных способов (нормативов потребления)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домовах,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домах, где расчеты за воду осуществляют с применением расчетных способов (нормативов потребления)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69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50341,8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49283,8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49211,3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70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домах, где расчеты за ЭЭ осуществляют с применением расчетных способов (нормативов потребления)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71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домов, где расчеты за природный газ осуществляют с использованием приборов учета (в части многоквартирных домов - с использованием индивидуальных и общих (для коммунальной квартиры) приборов учета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23385,7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25205,5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27864,4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72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Площадь жилых домах, где расчеты за природный газ осуществляют с применением расчетных способов (нормативов потребления) 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26686,3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23871,4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21262,1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73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Удельный расхода топлива на выработку ЭЭ тепловыми электростанциями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т.у.т./кВтч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  <w:t>74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Удельный расхода топлива на выработку ТЭ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т.у.т./Гкал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  <w:lang w:val="en-US"/>
              </w:rPr>
              <w:t>7</w:t>
            </w:r>
            <w:r>
              <w:rPr>
                <w:color w:val="000000"/>
                <w:szCs w:val="16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потерь ЭЭ при ее передаче по распределительным сетям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  <w:lang w:val="en-US"/>
              </w:rPr>
            </w:pPr>
            <w:r>
              <w:rPr>
                <w:color w:val="000000"/>
                <w:szCs w:val="16"/>
                <w:lang w:val="en-US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  <w:lang w:val="en-US"/>
              </w:rPr>
              <w:t>7</w:t>
            </w:r>
            <w:r>
              <w:rPr>
                <w:color w:val="000000"/>
                <w:szCs w:val="16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потерь ТЭ при ее передаче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Гкалч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потерь воды при ее передаче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куб.м.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78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Объем ЭЭ, используемой при передаче (транспортировке) воды</w:t>
            </w: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кВтч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МО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Количество общественного транспорта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284" w:leader="none"/>
        </w:tabs>
        <w:outlineLvl w:val="0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737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tabs>
          <w:tab w:val="left" w:pos="540" w:leader="none"/>
        </w:tabs>
        <w:jc w:val="right"/>
        <w:rPr>
          <w:bCs/>
        </w:rPr>
      </w:pPr>
      <w:r>
        <w:rPr>
          <w:bCs/>
        </w:rPr>
        <w:t>Приложение № 1</w:t>
      </w:r>
    </w:p>
    <w:p>
      <w:pPr>
        <w:pStyle w:val="Normal"/>
        <w:tabs>
          <w:tab w:val="left" w:pos="540" w:leader="none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и сроки выполнения мероприятий по энергосбережению и повышению энергетической эффективности. </w:t>
      </w:r>
    </w:p>
    <w:p>
      <w:pPr>
        <w:pStyle w:val="Normal"/>
        <w:tabs>
          <w:tab w:val="left" w:pos="54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540" w:leader="none"/>
        </w:tabs>
        <w:jc w:val="center"/>
        <w:rPr>
          <w:sz w:val="22"/>
          <w:szCs w:val="22"/>
        </w:rPr>
      </w:pPr>
      <w:r>
        <w:rPr/>
        <w:t xml:space="preserve">(тыс. руб.)                                                             </w:t>
      </w:r>
      <w:r>
        <w:rPr>
          <w:szCs w:val="20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"/>
        <w:rPr/>
      </w:pPr>
      <w:r>
        <w:rPr/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6"/>
        <w:gridCol w:w="4491"/>
        <w:gridCol w:w="909"/>
        <w:gridCol w:w="1080"/>
        <w:gridCol w:w="1071"/>
        <w:gridCol w:w="1260"/>
        <w:gridCol w:w="1080"/>
        <w:gridCol w:w="1080"/>
        <w:gridCol w:w="2700"/>
        <w:gridCol w:w="35"/>
        <w:gridCol w:w="1775"/>
      </w:tblGrid>
      <w:tr>
        <w:trPr>
          <w:trHeight w:val="272" w:hRule="exac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Наименование мероприятия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Срок исполнения</w:t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(годы)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 xml:space="preserve">Объем финансирования, </w:t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всего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в том числе за счет средств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</w:r>
          </w:p>
        </w:tc>
      </w:tr>
      <w:tr>
        <w:trPr>
          <w:trHeight w:val="2660" w:hRule="exac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федерального бюджета</w:t>
            </w:r>
          </w:p>
          <w:p>
            <w:pPr>
              <w:pStyle w:val="Normal"/>
              <w:tabs>
                <w:tab w:val="left" w:pos="540" w:leader="none"/>
              </w:tabs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(прогнозно)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областного бюджета</w:t>
            </w:r>
          </w:p>
          <w:p>
            <w:pPr>
              <w:pStyle w:val="Normal"/>
              <w:tabs>
                <w:tab w:val="left" w:pos="540" w:leader="none"/>
              </w:tabs>
              <w:snapToGrid w:val="false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(прогнозно)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муници</w:t>
            </w:r>
          </w:p>
          <w:p>
            <w:pPr>
              <w:pStyle w:val="Normal"/>
              <w:tabs>
                <w:tab w:val="left" w:pos="540" w:leader="none"/>
              </w:tabs>
              <w:snapToGrid w:val="false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пального бюджета</w:t>
            </w:r>
          </w:p>
          <w:p>
            <w:pPr>
              <w:pStyle w:val="Normal"/>
              <w:tabs>
                <w:tab w:val="left" w:pos="540" w:leader="none"/>
              </w:tabs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(прогнозно)</w:t>
            </w:r>
          </w:p>
          <w:p>
            <w:pPr>
              <w:pStyle w:val="Normal"/>
              <w:tabs>
                <w:tab w:val="left" w:pos="540" w:leader="none"/>
              </w:tabs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0"/>
              </w:rPr>
            </w:pPr>
            <w:r>
              <w:rPr>
                <w:sz w:val="23"/>
                <w:szCs w:val="20"/>
              </w:rPr>
              <w:t>внебюджетные средства (прогнозно)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Ответственные</w:t>
            </w:r>
          </w:p>
          <w:p>
            <w:pPr>
              <w:pStyle w:val="Normal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за исполнение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Ожидаемые</w:t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результаты</w:t>
            </w:r>
          </w:p>
          <w:p>
            <w:pPr>
              <w:pStyle w:val="Normal"/>
              <w:tabs>
                <w:tab w:val="left" w:pos="540" w:leader="none"/>
              </w:tabs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>
        <w:trPr>
          <w:trHeight w:val="375" w:hRule="atLeast"/>
          <w:cantSplit w:val="true"/>
        </w:trPr>
        <w:tc>
          <w:tcPr>
            <w:tcW w:w="1612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3"/>
              </w:numPr>
              <w:tabs>
                <w:tab w:val="left" w:pos="0" w:leader="none"/>
              </w:tabs>
              <w:snapToGrid w:val="false"/>
              <w:spacing w:before="0" w:after="0"/>
              <w:outlineLvl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Теплоснабжение</w:t>
            </w:r>
          </w:p>
        </w:tc>
      </w:tr>
      <w:tr>
        <w:trPr>
          <w:trHeight w:val="732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1.1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приборами учета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Фактическое потребление энергетических ресурсов</w:t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4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1.2</w:t>
            </w:r>
          </w:p>
        </w:tc>
        <w:tc>
          <w:tcPr>
            <w:tcW w:w="4491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систем отопления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 xml:space="preserve">Снижение потребления тепловой энергии </w:t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" w:hRule="atLeast"/>
          <w:cantSplit w:val="true"/>
        </w:trPr>
        <w:tc>
          <w:tcPr>
            <w:tcW w:w="646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1.3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тепловых потерь через ограждающие конструкции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тепловой энергии</w:t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1.4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теплового узла погодно-зависимой автоматикой и регулировкой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тепловой энергии</w:t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1.5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отопительных приборов автоматическими (радиаторными) терморегуляторами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тепловой энергии</w:t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3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2011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2012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2013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2014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2015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2017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2018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2019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32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112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192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144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5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1 за 2011-2020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</w:tr>
      <w:tr>
        <w:trPr>
          <w:trHeight w:val="536" w:hRule="atLeast"/>
          <w:cantSplit w:val="true"/>
        </w:trPr>
        <w:tc>
          <w:tcPr>
            <w:tcW w:w="16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Энергоснабжение</w:t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2.1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ламп накаливания на энергосберегательные лампы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электроэнергии</w:t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2.2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электроэнергии</w:t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97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2011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2012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2013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2014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2015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2017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2018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2019</w:t>
            </w:r>
          </w:p>
          <w:p>
            <w:pPr>
              <w:pStyle w:val="Normal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40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2 за 2011-2020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3" w:hRule="atLeast"/>
          <w:cantSplit w:val="true"/>
        </w:trPr>
        <w:tc>
          <w:tcPr>
            <w:tcW w:w="16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Водоснабжение</w:t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3.1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водопроводов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энергоемкости 1м</w:t>
            </w:r>
            <w:r>
              <w:rPr>
                <w:sz w:val="23"/>
                <w:szCs w:val="22"/>
                <w:vertAlign w:val="superscript"/>
              </w:rPr>
              <w:t>3</w:t>
            </w:r>
            <w:r>
              <w:rPr>
                <w:sz w:val="23"/>
                <w:szCs w:val="22"/>
              </w:rPr>
              <w:t>воды</w:t>
            </w:r>
          </w:p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b/>
                <w:bCs/>
                <w:sz w:val="23"/>
                <w:szCs w:val="18"/>
              </w:rPr>
            </w:pPr>
            <w:r>
              <w:rPr>
                <w:b/>
                <w:bCs/>
                <w:sz w:val="23"/>
                <w:szCs w:val="18"/>
              </w:rPr>
              <w:t>3.2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4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насосных станций частотными преобразователями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  <w:t>Администрация Большеозерского муниципального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Снижение потребления электроэнергии</w:t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  <w:cantSplit w:val="true"/>
        </w:trPr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91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1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2011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2012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2013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2014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2015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2017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2018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2019</w:t>
            </w:r>
          </w:p>
          <w:p>
            <w:pPr>
              <w:pStyle w:val="Normal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</w:t>
            </w:r>
          </w:p>
          <w:p>
            <w:pPr>
              <w:pStyle w:val="Norma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37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Итого по разделу 3 за 2011-2020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591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>
          <w:trHeight w:val="1209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snapToGrid w:val="false"/>
              <w:rPr>
                <w:b/>
                <w:bCs/>
                <w:sz w:val="23"/>
                <w:szCs w:val="20"/>
              </w:rPr>
            </w:pPr>
            <w:r>
              <w:rPr>
                <w:b/>
                <w:bCs/>
                <w:sz w:val="23"/>
                <w:szCs w:val="20"/>
              </w:rPr>
              <w:t>Всего по плану: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2011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2012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2013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2014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2015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2016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2017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2018</w:t>
            </w:r>
          </w:p>
          <w:p>
            <w:pPr>
              <w:pStyle w:val="Style27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2019</w:t>
            </w:r>
          </w:p>
          <w:p>
            <w:pPr>
              <w:pStyle w:val="Normal"/>
              <w:snapToGrid w:val="false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470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870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410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400</w:t>
            </w:r>
          </w:p>
          <w:p>
            <w:pPr>
              <w:pStyle w:val="Normal"/>
              <w:snapToGrid w:val="false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141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261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123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183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188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268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348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164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244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160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24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141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261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123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183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75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120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>
          <w:trHeight w:val="536" w:hRule="atLeast"/>
          <w:cantSplit w:val="true"/>
        </w:trPr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7"/>
              <w:snapToGrid w:val="false"/>
              <w:ind w:left="73" w:right="-206" w:hanging="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Всего по плану: </w:t>
            </w:r>
          </w:p>
          <w:p>
            <w:pPr>
              <w:pStyle w:val="Style27"/>
              <w:ind w:left="73" w:right="-206" w:hanging="7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за 2011-2020 годы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1744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460" w:leader="none"/>
                <w:tab w:val="left" w:pos="8640" w:leader="none"/>
                <w:tab w:val="left" w:pos="12060" w:leader="none"/>
              </w:tabs>
              <w:snapToGrid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Большеозерском муниципальном образовании Балтайского муниципального района сохраняется тенденция неэкономного использования топливно-энергетических ресурсов (ТЭР). Положение усугубляется  ростом тарифов на топливно-энергетические ресурсы.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крупных потребителей ТЭР являются муниципальные учреждения. Большой износ и низкая эффективность использующегося в них устаревшего отопительного оборудования и коммуникаций приводит к перерасходу топлива и к завышенным затратам на текущее обслуживание.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Данной программой намечены энергосберегающие мероприятия, реализация которых обеспечит снижение нерациональных тепловых потерь и соответственно потребление топлива, позволит провести консервацию нерентабельных котельных, что, в конечном итоге приведет к снижению платежей за потребление ТЭР бюджетной сферой.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ТЭР позволит улучшить экономические показатели системы теплоснабжения в целом.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приборами учета используемых энергетических ресурсов позволит определить фактическое потребление ТЭР.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потери тепловой энергии зданий приходятся на стены, крышу, окна и полы. Экономически целесообразным мероприятием, направленным на уменьшение теплопотерь через ограждающие конструкции и снижения расхода ТЭР, является замена существующих окон на энергоэффективные пластиковые окна ПВХ. Современные пластиковые окна позволяют уменьшить тепловые потери почти в 2 раза.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мероприятием по уменьшению тепловых потерь на объектах и снижению расхода ТЭР, служит теплоизоляция фасадов.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достоинствам наружной фасадной теплоизоляции можно отнести: прочный фасад, снижение расходов на отопительную систему и котельную посредством уменьшения потребности в тепловой мощности, предотвращение усадочных и механических деформаций стены благодаря малым колебаниям температуры в конструкционном слое, обеспечение высокого уровня энергосбережения. Снижение затрат на отопление здания до 60% , увеличение срока службы несущих стен, повышения звукоизоляции наружных стен.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отопление – важная составляющая энергосбережения. Система отопления должна решать проблему снижения тепловой энергии при транспортировке тепла. В этом случае отопление будет более экономичным, так как старые системы отопления теряют до 15-20% тепловой энергии только на транспортировке этого тепла.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максимального экономического эффекта предлагается оснастить отопительные приборы автоматическими (радиаторными) терморегуляторами.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ламп накаливания на энергосберегающие лампы позволит снизить затраты на электроэнергию до 50 %.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благоприятных условий жизнедеятельности населения муниципального района планируется провести реконструкцию уличного освещения.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важной проблемой является обеспечение населения качественной питьевой водой. Состояние водопроводных сетей в районе неудовлетворительное. Замена стальной трубы на полиэтиленовую позволит увеличить срок службы сетей на 50 лет, уменьшить расходы на содержание водопровода, обеспечить нормальное и стабильное обеспечение питьевой водой.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насосных станций частотными преобразователями позволить снизить затраты на электроэнергию.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планируемые мероприятия направлены на решение комплексной проблемы повышения эффективности использования энергетических ресурсов, сокращение расходов бюджетов на обеспечение энергетическими ресурсами. 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snapToGrid w:val="false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Верно: Главный специалист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администрации Большеозерского</w:t>
      </w:r>
    </w:p>
    <w:p>
      <w:pPr>
        <w:pStyle w:val="Normal"/>
        <w:rPr>
          <w:b/>
        </w:rPr>
      </w:pPr>
      <w:r>
        <w:rPr>
          <w:b/>
          <w:sz w:val="28"/>
          <w:szCs w:val="28"/>
        </w:rPr>
        <w:tab/>
        <w:t>муниципального образования</w:t>
        <w:tab/>
        <w:tab/>
        <w:tab/>
        <w:tab/>
        <w:t>Н.Н.Симакова</w:t>
      </w:r>
      <w:r>
        <w:rPr>
          <w:b/>
        </w:rPr>
        <w:t xml:space="preserve">                                                  </w:t>
      </w:r>
    </w:p>
    <w:p>
      <w:pPr>
        <w:pStyle w:val="Style31"/>
        <w:snapToGrid w:val="false"/>
        <w:rPr>
          <w:vanish/>
        </w:rPr>
      </w:pPr>
      <w:bookmarkStart w:id="0" w:name="_PictureBullets"/>
      <w:bookmarkStart w:id="1" w:name="_PictureBullets"/>
      <w:bookmarkEnd w:id="1"/>
      <w:r>
        <w:rPr>
          <w:vanish/>
        </w:rPr>
      </w:r>
    </w:p>
    <w:sectPr>
      <w:type w:val="nextPage"/>
      <w:pgSz w:orient="landscape" w:w="16838" w:h="11906"/>
      <w:pgMar w:left="567" w:right="567" w:header="0" w:top="73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Lucida Sans Unicode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next w:val="Normal"/>
    <w:pPr>
      <w:keepNext/>
      <w:tabs>
        <w:tab w:val="left" w:pos="2520" w:leader="none"/>
      </w:tabs>
      <w:spacing w:before="240" w:after="60"/>
      <w:ind w:left="720" w:right="0" w:hanging="0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basedOn w:val="Normal"/>
    <w:next w:val="Normal"/>
    <w:pPr>
      <w:keepNext/>
      <w:jc w:val="both"/>
    </w:pPr>
    <w:rPr>
      <w:sz w:val="32"/>
    </w:rPr>
  </w:style>
  <w:style w:type="paragraph" w:styleId="4">
    <w:name w:val="Заголовок 4"/>
    <w:basedOn w:val="Normal"/>
    <w:next w:val="Normal"/>
    <w:pPr>
      <w:keepNext/>
    </w:pPr>
    <w:rPr>
      <w:b/>
      <w:bCs/>
      <w:sz w:val="28"/>
      <w:u w:val="single"/>
    </w:rPr>
  </w:style>
  <w:style w:type="paragraph" w:styleId="5">
    <w:name w:val="Заголовок 5"/>
    <w:basedOn w:val="Normal"/>
    <w:next w:val="Normal"/>
    <w:pPr>
      <w:tabs>
        <w:tab w:val="left" w:pos="-1872" w:leader="none"/>
      </w:tabs>
      <w:spacing w:before="240" w:after="60"/>
      <w:ind w:left="-1872" w:right="0" w:hanging="432"/>
    </w:pPr>
    <w:rPr>
      <w:b/>
      <w:bCs/>
      <w:i/>
      <w:iCs/>
      <w:sz w:val="26"/>
      <w:szCs w:val="26"/>
    </w:rPr>
  </w:style>
  <w:style w:type="paragraph" w:styleId="6">
    <w:name w:val="Заголовок 6"/>
    <w:basedOn w:val="Normal"/>
    <w:next w:val="Normal"/>
    <w:pPr>
      <w:keepNext/>
      <w:widowControl w:val="false"/>
      <w:snapToGrid w:val="false"/>
      <w:ind w:left="0" w:right="283" w:firstLine="567"/>
      <w:jc w:val="right"/>
    </w:pPr>
    <w:rPr>
      <w:szCs w:val="20"/>
    </w:rPr>
  </w:style>
  <w:style w:type="paragraph" w:styleId="7">
    <w:name w:val="Заголовок 7"/>
    <w:basedOn w:val="Normal"/>
    <w:next w:val="Normal"/>
    <w:pPr>
      <w:keepNext/>
      <w:jc w:val="center"/>
    </w:pPr>
    <w:rPr>
      <w:rFonts w:ascii="Arial" w:hAnsi="Arial" w:cs="Arial"/>
      <w:b/>
    </w:rPr>
  </w:style>
  <w:style w:type="paragraph" w:styleId="8">
    <w:name w:val="Заголовок 8"/>
    <w:basedOn w:val="Normal"/>
    <w:next w:val="Normal"/>
    <w:pPr>
      <w:keepNext/>
      <w:widowControl w:val="false"/>
      <w:tabs>
        <w:tab w:val="left" w:pos="3828" w:leader="none"/>
      </w:tabs>
      <w:snapToGrid w:val="false"/>
      <w:ind w:left="0" w:right="0" w:firstLine="567"/>
      <w:jc w:val="center"/>
    </w:pPr>
    <w:rPr>
      <w:b/>
      <w:szCs w:val="20"/>
    </w:rPr>
  </w:style>
  <w:style w:type="paragraph" w:styleId="9">
    <w:name w:val="Заголовок 9"/>
    <w:basedOn w:val="Normal"/>
    <w:next w:val="Normal"/>
    <w:pPr>
      <w:spacing w:before="240" w:after="60"/>
    </w:pPr>
    <w:rPr>
      <w:rFonts w:ascii="Arial" w:hAnsi="Arial" w:cs="Arial"/>
      <w:sz w:val="22"/>
      <w:szCs w:val="22"/>
    </w:rPr>
  </w:style>
  <w:style w:type="character" w:styleId="WW8Num2z0">
    <w:name w:val="WW8Num2z0"/>
    <w:rPr>
      <w:rFonts w:ascii="Times New Roman" w:hAnsi="Times New Roman" w:eastAsia="Times New Roman" w:cs="Times New Roman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8Num4z0">
    <w:name w:val="WW8Num4z0"/>
    <w:rPr>
      <w:rFonts w:ascii="Times New Roman" w:hAnsi="Times New Roman" w:eastAsia="Times New Roman" w:cs="Times New Roman"/>
    </w:rPr>
  </w:style>
  <w:style w:type="character" w:styleId="WW8Num5z0">
    <w:name w:val="WW8Num5z0"/>
    <w:rPr>
      <w:rFonts w:ascii="Symbol" w:hAnsi="Symbol"/>
    </w:rPr>
  </w:style>
  <w:style w:type="character" w:styleId="Style5">
    <w:name w:val="Основной шрифт абзаца"/>
    <w:rPr/>
  </w:style>
  <w:style w:type="character" w:styleId="WW8Num1z0">
    <w:name w:val="WW8Num1z0"/>
    <w:rPr>
      <w:rFonts w:ascii="Times New Roman" w:hAnsi="Times New Roman" w:eastAsia="Times New Roman" w:cs="Times New Roman"/>
    </w:rPr>
  </w:style>
  <w:style w:type="character" w:styleId="WW8Num6z0">
    <w:name w:val="WW8Num6z0"/>
    <w:rPr>
      <w:rFonts w:ascii="Symbol" w:hAnsi="Symbol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/>
    </w:rPr>
  </w:style>
  <w:style w:type="character" w:styleId="WW8Num7z0">
    <w:name w:val="WW8Num7z0"/>
    <w:rPr>
      <w:rFonts w:ascii="Times New Roman" w:hAnsi="Times New Roman" w:eastAsia="Times New Roman" w:cs="Times New Roman"/>
    </w:rPr>
  </w:style>
  <w:style w:type="character" w:styleId="WW8Num7z1">
    <w:name w:val="WW8Num7z1"/>
    <w:rPr>
      <w:rFonts w:ascii="Courier New" w:hAnsi="Courier New"/>
    </w:rPr>
  </w:style>
  <w:style w:type="character" w:styleId="WW8Num7z2">
    <w:name w:val="WW8Num7z2"/>
    <w:rPr>
      <w:rFonts w:ascii="Wingdings" w:hAnsi="Wingdings"/>
    </w:rPr>
  </w:style>
  <w:style w:type="character" w:styleId="WW8Num7z3">
    <w:name w:val="WW8Num7z3"/>
    <w:rPr>
      <w:rFonts w:ascii="Symbol" w:hAnsi="Symbol"/>
    </w:rPr>
  </w:style>
  <w:style w:type="character" w:styleId="WW8Num7z4">
    <w:name w:val="WW8Num7z4"/>
    <w:rPr>
      <w:rFonts w:ascii="Courier New" w:hAnsi="Courier New" w:cs="Courier New"/>
    </w:rPr>
  </w:style>
  <w:style w:type="character" w:styleId="21">
    <w:name w:val="Основной шрифт абзаца2"/>
    <w:rPr/>
  </w:style>
  <w:style w:type="character" w:styleId="WW8Num2z1">
    <w:name w:val="WW8Num2z1"/>
    <w:rPr>
      <w:rFonts w:ascii="Courier New" w:hAnsi="Courier New" w:cs="Courier New"/>
    </w:rPr>
  </w:style>
  <w:style w:type="character" w:styleId="Style6">
    <w:name w:val="Номер страницы"/>
    <w:basedOn w:val="21"/>
    <w:rPr/>
  </w:style>
  <w:style w:type="character" w:styleId="Style7">
    <w:name w:val="Интернет-ссылка"/>
    <w:basedOn w:val="21"/>
    <w:rPr>
      <w:color w:val="0000FF"/>
      <w:u w:val="single"/>
    </w:rPr>
  </w:style>
  <w:style w:type="character" w:styleId="Style8">
    <w:name w:val="Символ сноски"/>
    <w:basedOn w:val="21"/>
    <w:rPr>
      <w:vertAlign w:val="superscript"/>
    </w:rPr>
  </w:style>
  <w:style w:type="character" w:styleId="WW8Num1z1">
    <w:name w:val="WW8Num1z1"/>
    <w:rPr>
      <w:rFonts w:ascii="Courier New" w:hAnsi="Courier New"/>
    </w:rPr>
  </w:style>
  <w:style w:type="character" w:styleId="WW8Num1z2">
    <w:name w:val="WW8Num1z2"/>
    <w:rPr>
      <w:rFonts w:ascii="Wingdings" w:hAnsi="Wingdings"/>
    </w:rPr>
  </w:style>
  <w:style w:type="character" w:styleId="WW8Num1z3">
    <w:name w:val="WW8Num1z3"/>
    <w:rPr>
      <w:rFonts w:ascii="Symbol" w:hAnsi="Symbol"/>
    </w:rPr>
  </w:style>
  <w:style w:type="character" w:styleId="WW8Num2z2">
    <w:name w:val="WW8Num2z2"/>
    <w:rPr>
      <w:rFonts w:ascii="Wingdings" w:hAnsi="Wingdings"/>
    </w:rPr>
  </w:style>
  <w:style w:type="character" w:styleId="WW8Num2z3">
    <w:name w:val="WW8Num2z3"/>
    <w:rPr>
      <w:rFonts w:ascii="Symbol" w:hAnsi="Symbol"/>
    </w:rPr>
  </w:style>
  <w:style w:type="character" w:styleId="WW8Num3z0">
    <w:name w:val="WW8Num3z0"/>
    <w:rPr>
      <w:rFonts w:ascii="Times New Roman" w:hAnsi="Times New Roman" w:eastAsia="Times New Roman" w:cs="Times New Roman"/>
    </w:rPr>
  </w:style>
  <w:style w:type="character" w:styleId="WW8Num3z1">
    <w:name w:val="WW8Num3z1"/>
    <w:rPr>
      <w:rFonts w:ascii="Courier New" w:hAnsi="Courier New"/>
    </w:rPr>
  </w:style>
  <w:style w:type="character" w:styleId="WW8Num3z2">
    <w:name w:val="WW8Num3z2"/>
    <w:rPr>
      <w:rFonts w:ascii="Wingdings" w:hAnsi="Wingdings"/>
    </w:rPr>
  </w:style>
  <w:style w:type="character" w:styleId="WW8Num3z3">
    <w:name w:val="WW8Num3z3"/>
    <w:rPr>
      <w:rFonts w:ascii="Symbol" w:hAnsi="Symbol"/>
    </w:rPr>
  </w:style>
  <w:style w:type="character" w:styleId="11">
    <w:name w:val="Основной шрифт абзаца1"/>
    <w:rPr/>
  </w:style>
  <w:style w:type="character" w:styleId="Style9">
    <w:name w:val="Посещённая гиперссылка"/>
    <w:basedOn w:val="21"/>
    <w:rPr>
      <w:color w:val="800080"/>
      <w:u w:val="single"/>
    </w:rPr>
  </w:style>
  <w:style w:type="character" w:styleId="Style10">
    <w:name w:val="Выделение жирным"/>
    <w:basedOn w:val="21"/>
    <w:rPr>
      <w:b/>
      <w:bCs w:val="false"/>
    </w:rPr>
  </w:style>
  <w:style w:type="character" w:styleId="Style11">
    <w:name w:val="Знак Знак"/>
    <w:basedOn w:val="21"/>
    <w:rPr>
      <w:sz w:val="24"/>
      <w:szCs w:val="24"/>
      <w:lang w:val="ru-RU" w:bidi="ar-SA"/>
    </w:rPr>
  </w:style>
  <w:style w:type="character" w:styleId="Style12">
    <w:name w:val="Основной шрифт"/>
    <w:rPr/>
  </w:style>
  <w:style w:type="character" w:styleId="HTMLMarkup">
    <w:name w:val="HTML Markup"/>
    <w:rPr>
      <w:vanish/>
      <w:color w:val="FF0000"/>
    </w:rPr>
  </w:style>
  <w:style w:type="character" w:styleId="Text">
    <w:name w:val="text"/>
    <w:basedOn w:val="21"/>
    <w:rPr/>
  </w:style>
  <w:style w:type="character" w:styleId="Style13">
    <w:name w:val="Верхний колонтитул Знак"/>
    <w:basedOn w:val="Style5"/>
    <w:rPr>
      <w:sz w:val="24"/>
      <w:szCs w:val="24"/>
    </w:rPr>
  </w:style>
  <w:style w:type="character" w:styleId="Style14">
    <w:name w:val="Символ нумерации"/>
    <w:rPr/>
  </w:style>
  <w:style w:type="character" w:styleId="Style15">
    <w:name w:val="Символы концевой сноски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>
      <w:szCs w:val="20"/>
    </w:rPr>
  </w:style>
  <w:style w:type="paragraph" w:styleId="Style18">
    <w:name w:val="Заглавие"/>
    <w:basedOn w:val="Normal"/>
    <w:next w:val="Style17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9">
    <w:name w:val="Список"/>
    <w:basedOn w:val="Style17"/>
    <w:pPr>
      <w:suppressAutoHyphens w:val="true"/>
      <w:spacing w:before="0" w:after="0"/>
      <w:jc w:val="center"/>
    </w:pPr>
    <w:rPr>
      <w:rFonts w:ascii="Arial" w:hAnsi="Arial" w:cs="Tahoma"/>
      <w:b/>
      <w:sz w:val="28"/>
      <w:szCs w:val="28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Mangal"/>
    </w:rPr>
  </w:style>
  <w:style w:type="paragraph" w:styleId="22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23">
    <w:name w:val="Указатель2"/>
    <w:basedOn w:val="Normal"/>
    <w:pPr>
      <w:suppressLineNumbers/>
    </w:pPr>
    <w:rPr>
      <w:rFonts w:ascii="Arial" w:hAnsi="Arial" w:cs="Mangal"/>
    </w:rPr>
  </w:style>
  <w:style w:type="paragraph" w:styleId="12">
    <w:name w:val="Схема документа1"/>
    <w:basedOn w:val="Normal"/>
    <w:pPr>
      <w:shd w:fill="000080" w:val="clear"/>
    </w:pPr>
    <w:rPr>
      <w:rFonts w:ascii="Tahoma" w:hAnsi="Tahoma" w:cs="Tahoma"/>
      <w:sz w:val="20"/>
      <w:szCs w:val="20"/>
    </w:rPr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Основной текст с отступом"/>
    <w:basedOn w:val="Normal"/>
    <w:pPr>
      <w:ind w:left="0" w:right="0" w:firstLine="12"/>
    </w:pPr>
    <w:rPr>
      <w:sz w:val="32"/>
    </w:rPr>
  </w:style>
  <w:style w:type="paragraph" w:styleId="31">
    <w:name w:val="Основной текст 31"/>
    <w:basedOn w:val="Normal"/>
    <w:pPr>
      <w:suppressAutoHyphens w:val="true"/>
      <w:spacing w:lineRule="auto" w:line="360"/>
      <w:jc w:val="both"/>
    </w:pPr>
    <w:rPr>
      <w:sz w:val="28"/>
      <w:szCs w:val="20"/>
    </w:rPr>
  </w:style>
  <w:style w:type="paragraph" w:styleId="13">
    <w:name w:val="Текст1"/>
    <w:basedOn w:val="Normal"/>
    <w:pPr>
      <w:ind w:left="0" w:right="0" w:firstLine="720"/>
      <w:jc w:val="both"/>
    </w:pPr>
    <w:rPr>
      <w:rFonts w:ascii="Arial" w:hAnsi="Arial"/>
      <w:sz w:val="20"/>
      <w:szCs w:val="20"/>
    </w:rPr>
  </w:style>
  <w:style w:type="paragraph" w:styleId="PlainText">
    <w:name w:val="Plain Text"/>
    <w:basedOn w:val="Normal"/>
    <w:pPr>
      <w:widowControl w:val="false"/>
    </w:pPr>
    <w:rPr>
      <w:rFonts w:ascii="Courier New" w:hAnsi="Courier New"/>
      <w:sz w:val="20"/>
      <w:szCs w:val="20"/>
    </w:rPr>
  </w:style>
  <w:style w:type="paragraph" w:styleId="14">
    <w:name w:val="Шапка1"/>
    <w:basedOn w:val="Normal"/>
    <w:pPr>
      <w:spacing w:lineRule="exact" w:line="200" w:before="60" w:after="60"/>
    </w:pPr>
    <w:rPr>
      <w:rFonts w:ascii="Arial" w:hAnsi="Arial"/>
      <w:i/>
      <w:sz w:val="20"/>
      <w:szCs w:val="20"/>
    </w:rPr>
  </w:style>
  <w:style w:type="paragraph" w:styleId="Style24">
    <w:name w:val="Таблица"/>
    <w:basedOn w:val="14"/>
    <w:pPr>
      <w:spacing w:lineRule="exact" w:line="220" w:before="0" w:after="0"/>
    </w:pPr>
    <w:rPr>
      <w:i w:val="false"/>
    </w:rPr>
  </w:style>
  <w:style w:type="paragraph" w:styleId="Style25">
    <w:name w:val="Таблотст"/>
    <w:basedOn w:val="Normal"/>
    <w:pPr/>
    <w:rPr>
      <w:rFonts w:ascii="Arial" w:hAnsi="Arial"/>
      <w:sz w:val="20"/>
      <w:szCs w:val="20"/>
    </w:rPr>
  </w:style>
  <w:style w:type="paragraph" w:styleId="211">
    <w:name w:val="Основной текст с отступом 21"/>
    <w:basedOn w:val="Normal"/>
    <w:pPr>
      <w:spacing w:lineRule="auto" w:line="480" w:before="0" w:after="120"/>
      <w:ind w:left="283" w:right="0" w:hanging="0"/>
    </w:pPr>
    <w:rPr>
      <w:szCs w:val="20"/>
    </w:rPr>
  </w:style>
  <w:style w:type="paragraph" w:styleId="32">
    <w:name w:val="Основной текст с отступом 32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Style26">
    <w:name w:val="Шап"/>
    <w:basedOn w:val="Normal"/>
    <w:pPr>
      <w:jc w:val="center"/>
    </w:pPr>
    <w:rPr>
      <w:rFonts w:ascii="Arial" w:hAnsi="Arial"/>
      <w:i/>
      <w:color w:val="000000"/>
      <w:sz w:val="20"/>
      <w:szCs w:val="20"/>
    </w:rPr>
  </w:style>
  <w:style w:type="paragraph" w:styleId="Normal1">
    <w:name w:val="LO-Normal"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Times New Roman"/>
      <w:color w:val="auto"/>
      <w:sz w:val="18"/>
      <w:szCs w:val="20"/>
      <w:lang w:val="ru-RU" w:eastAsia="zh-CN" w:bidi="ar-SA"/>
    </w:rPr>
  </w:style>
  <w:style w:type="paragraph" w:styleId="BodyText21">
    <w:name w:val="Body Text 21"/>
    <w:basedOn w:val="Normal1"/>
    <w:pPr>
      <w:ind w:left="0" w:right="0" w:firstLine="720"/>
      <w:jc w:val="both"/>
    </w:pPr>
    <w:rPr>
      <w:sz w:val="20"/>
    </w:rPr>
  </w:style>
  <w:style w:type="paragraph" w:styleId="24">
    <w:name w:val="Таблотст2"/>
    <w:basedOn w:val="Style24"/>
    <w:pPr>
      <w:ind w:left="170" w:right="0" w:hanging="0"/>
    </w:pPr>
    <w:rPr/>
  </w:style>
  <w:style w:type="paragraph" w:styleId="Style27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Обычный (веб)"/>
    <w:basedOn w:val="Normal"/>
    <w:pPr/>
    <w:rPr/>
  </w:style>
  <w:style w:type="paragraph" w:styleId="15">
    <w:name w:val="Название объекта1"/>
    <w:basedOn w:val="Normal"/>
    <w:next w:val="Normal"/>
    <w:pPr>
      <w:jc w:val="center"/>
    </w:pPr>
    <w:rPr>
      <w:b/>
      <w:i/>
      <w:sz w:val="28"/>
      <w:szCs w:val="20"/>
    </w:rPr>
  </w:style>
  <w:style w:type="paragraph" w:styleId="Style29">
    <w:name w:val="Подзаголовок"/>
    <w:basedOn w:val="Style18"/>
    <w:next w:val="Style17"/>
    <w:pPr>
      <w:jc w:val="center"/>
    </w:pPr>
    <w:rPr>
      <w:i/>
      <w:iCs/>
      <w:sz w:val="28"/>
      <w:szCs w:val="28"/>
    </w:rPr>
  </w:style>
  <w:style w:type="paragraph" w:styleId="221">
    <w:name w:val="Основной текст 22"/>
    <w:basedOn w:val="Normal"/>
    <w:pPr>
      <w:spacing w:lineRule="auto" w:line="480" w:before="0" w:after="120"/>
    </w:pPr>
    <w:rPr/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false"/>
      <w:bidi w:val="0"/>
      <w:spacing w:lineRule="auto" w:line="300"/>
      <w:ind w:left="1840" w:right="1800" w:hanging="0"/>
      <w:jc w:val="center"/>
    </w:pPr>
    <w:rPr>
      <w:rFonts w:ascii="Times New Roman" w:hAnsi="Times New Roman" w:eastAsia="Arial" w:cs="Times New Roman"/>
      <w:b/>
      <w:bCs/>
      <w:color w:val="auto"/>
      <w:sz w:val="24"/>
      <w:szCs w:val="24"/>
      <w:lang w:val="ru-RU" w:eastAsia="zh-CN" w:bidi="ar-SA"/>
    </w:rPr>
  </w:style>
  <w:style w:type="paragraph" w:styleId="Web">
    <w:name w:val="Обычный (Web)"/>
    <w:basedOn w:val="Normal"/>
    <w:pPr>
      <w:spacing w:before="280" w:after="280"/>
    </w:pPr>
    <w:rPr/>
  </w:style>
  <w:style w:type="paragraph" w:styleId="Style30">
    <w:name w:val="Сноска"/>
    <w:basedOn w:val="Normal"/>
    <w:pPr/>
    <w:rPr>
      <w:sz w:val="20"/>
      <w:szCs w:val="20"/>
    </w:rPr>
  </w:style>
  <w:style w:type="paragraph" w:styleId="ConsPlusNormal">
    <w:name w:val="ConsPlusNormal"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Style31">
    <w:name w:val="Содержимое таблицы"/>
    <w:basedOn w:val="Normal"/>
    <w:pPr>
      <w:suppressLineNumbers/>
      <w:suppressAutoHyphens w:val="true"/>
    </w:pPr>
    <w:rPr>
      <w:sz w:val="28"/>
      <w:szCs w:val="28"/>
    </w:rPr>
  </w:style>
  <w:style w:type="paragraph" w:styleId="16">
    <w:name w:val="Название1"/>
    <w:basedOn w:val="Normal"/>
    <w:pPr>
      <w:suppressLineNumbers/>
      <w:suppressAutoHyphens w:val="true"/>
      <w:spacing w:before="120" w:after="120"/>
    </w:pPr>
    <w:rPr>
      <w:rFonts w:ascii="Arial" w:hAnsi="Arial" w:cs="Tahoma"/>
      <w:i/>
      <w:iCs/>
      <w:sz w:val="20"/>
    </w:rPr>
  </w:style>
  <w:style w:type="paragraph" w:styleId="17">
    <w:name w:val="Указатель1"/>
    <w:basedOn w:val="Normal"/>
    <w:pPr>
      <w:suppressLineNumbers/>
      <w:suppressAutoHyphens w:val="true"/>
    </w:pPr>
    <w:rPr>
      <w:rFonts w:ascii="Arial" w:hAnsi="Arial" w:cs="Tahoma"/>
    </w:rPr>
  </w:style>
  <w:style w:type="paragraph" w:styleId="212">
    <w:name w:val="Основной текст 21"/>
    <w:basedOn w:val="Normal"/>
    <w:pPr>
      <w:tabs>
        <w:tab w:val="left" w:pos="8460" w:leader="none"/>
        <w:tab w:val="left" w:pos="8640" w:leader="none"/>
        <w:tab w:val="left" w:pos="12060" w:leader="none"/>
      </w:tabs>
      <w:suppressAutoHyphens w:val="true"/>
      <w:jc w:val="both"/>
    </w:pPr>
    <w:rPr>
      <w:bCs/>
      <w:szCs w:val="28"/>
    </w:rPr>
  </w:style>
  <w:style w:type="paragraph" w:styleId="311">
    <w:name w:val="Основной текст с отступом 31"/>
    <w:basedOn w:val="Normal"/>
    <w:pPr>
      <w:suppressAutoHyphens w:val="true"/>
      <w:spacing w:lineRule="auto" w:line="288" w:before="34" w:after="0"/>
      <w:ind w:left="0" w:right="0" w:firstLine="539"/>
      <w:jc w:val="both"/>
    </w:pPr>
    <w:rPr>
      <w:sz w:val="28"/>
    </w:rPr>
  </w:style>
  <w:style w:type="paragraph" w:styleId="Style32">
    <w:name w:val="Заголовок таблицы"/>
    <w:basedOn w:val="Style31"/>
    <w:pPr>
      <w:jc w:val="center"/>
    </w:pPr>
    <w:rPr>
      <w:b/>
      <w:bCs/>
      <w:sz w:val="24"/>
      <w:szCs w:val="24"/>
    </w:rPr>
  </w:style>
  <w:style w:type="paragraph" w:styleId="18">
    <w:name w:val="Оглавление 1"/>
    <w:basedOn w:val="Normal"/>
    <w:next w:val="Normal"/>
    <w:pPr>
      <w:widowControl w:val="false"/>
      <w:snapToGrid w:val="false"/>
      <w:jc w:val="both"/>
    </w:pPr>
    <w:rPr>
      <w:sz w:val="20"/>
      <w:szCs w:val="20"/>
    </w:rPr>
  </w:style>
  <w:style w:type="paragraph" w:styleId="213">
    <w:name w:val="Маркированный список 21"/>
    <w:basedOn w:val="Normal"/>
    <w:pPr>
      <w:numPr>
        <w:ilvl w:val="0"/>
        <w:numId w:val="2"/>
      </w:numPr>
      <w:snapToGrid w:val="false"/>
      <w:ind w:left="566" w:right="0" w:firstLine="285"/>
      <w:jc w:val="both"/>
    </w:pPr>
    <w:rPr>
      <w:sz w:val="20"/>
      <w:szCs w:val="20"/>
    </w:rPr>
  </w:style>
  <w:style w:type="paragraph" w:styleId="321">
    <w:name w:val="Основной текст 32"/>
    <w:basedOn w:val="Normal"/>
    <w:pPr>
      <w:widowControl w:val="false"/>
      <w:tabs>
        <w:tab w:val="left" w:pos="426" w:leader="none"/>
      </w:tabs>
      <w:snapToGrid w:val="false"/>
      <w:jc w:val="both"/>
    </w:pPr>
    <w:rPr>
      <w:b/>
      <w:caps/>
      <w:szCs w:val="20"/>
    </w:rPr>
  </w:style>
  <w:style w:type="paragraph" w:styleId="Ed">
    <w:name w:val="дeсновdой те"/>
    <w:basedOn w:val="Normal"/>
    <w:pPr>
      <w:widowControl w:val="false"/>
      <w:tabs>
        <w:tab w:val="left" w:pos="0" w:leader="none"/>
      </w:tabs>
      <w:snapToGrid w:val="false"/>
      <w:ind w:left="0" w:right="283" w:hanging="0"/>
      <w:jc w:val="both"/>
    </w:pPr>
    <w:rPr>
      <w:sz w:val="28"/>
      <w:szCs w:val="20"/>
    </w:rPr>
  </w:style>
  <w:style w:type="paragraph" w:styleId="Style33">
    <w:name w:val="Табличный"/>
    <w:basedOn w:val="Normal"/>
    <w:pPr>
      <w:widowControl w:val="false"/>
      <w:snapToGrid w:val="false"/>
      <w:jc w:val="center"/>
    </w:pPr>
    <w:rPr>
      <w:sz w:val="26"/>
      <w:szCs w:val="20"/>
    </w:rPr>
  </w:style>
  <w:style w:type="paragraph" w:styleId="Blockquote">
    <w:name w:val="Blockquote"/>
    <w:basedOn w:val="Normal"/>
    <w:pPr>
      <w:widowControl w:val="false"/>
      <w:snapToGrid w:val="false"/>
      <w:spacing w:before="100" w:after="100"/>
      <w:ind w:left="360" w:right="360" w:hanging="0"/>
      <w:jc w:val="both"/>
    </w:pPr>
    <w:rPr>
      <w:szCs w:val="20"/>
    </w:rPr>
  </w:style>
  <w:style w:type="paragraph" w:styleId="19">
    <w:name w:val="Знак Знак Знак1 Знак"/>
    <w:basedOn w:val="Normal"/>
    <w:pPr>
      <w:spacing w:lineRule="exact" w:line="240" w:before="0" w:after="160"/>
    </w:pPr>
    <w:rPr>
      <w:rFonts w:eastAsia="SimSun;宋体"/>
      <w:b/>
      <w:sz w:val="28"/>
      <w:lang w:val="en-US"/>
    </w:rPr>
  </w:style>
  <w:style w:type="paragraph" w:styleId="ConsPlusTitle">
    <w:name w:val="ConsPlusTitle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/>
      <w:bCs/>
      <w:color w:val="auto"/>
      <w:sz w:val="20"/>
      <w:szCs w:val="20"/>
      <w:lang w:val="ru-RU" w:eastAsia="zh-CN" w:bidi="ar-SA"/>
    </w:rPr>
  </w:style>
  <w:style w:type="paragraph" w:styleId="Style34">
    <w:name w:val="Содержимое врезки"/>
    <w:basedOn w:val="Style17"/>
    <w:pPr/>
    <w:rPr/>
  </w:style>
  <w:style w:type="paragraph" w:styleId="Style35">
    <w:name w:val="Текст выноски"/>
    <w:basedOn w:val="Normal"/>
    <w:pPr/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15000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2010-06-10T14:29:00Z</dcterms:created>
  <dc:creator>Admin</dc:creator>
  <dc:language>ru-RU</dc:language>
  <cp:lastModifiedBy>1</cp:lastModifiedBy>
  <cp:lastPrinted>2010-12-21T14:52:00Z</cp:lastPrinted>
  <dcterms:modified xsi:type="dcterms:W3CDTF">2010-12-24T13:55:00Z</dcterms:modified>
  <cp:revision>22</cp:revision>
  <dc:title>Муниципальная целевая программа</dc:title>
</cp:coreProperties>
</file>