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7" w:rsidRPr="00BE5DE1" w:rsidRDefault="002702A7" w:rsidP="002702A7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A7" w:rsidRPr="00BE5DE1" w:rsidRDefault="002702A7" w:rsidP="002702A7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E5DE1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702A7" w:rsidRPr="00BE5DE1" w:rsidRDefault="002702A7" w:rsidP="002702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E5DE1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BE5DE1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2702A7" w:rsidRPr="00BE5DE1" w:rsidRDefault="002702A7" w:rsidP="002702A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BE5DE1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BE5DE1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2702A7" w:rsidRPr="00BE5DE1" w:rsidRDefault="002702A7" w:rsidP="002702A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b/>
          <w:spacing w:val="30"/>
        </w:rPr>
      </w:pPr>
    </w:p>
    <w:p w:rsidR="002702A7" w:rsidRPr="00BE5DE1" w:rsidRDefault="002702A7" w:rsidP="002702A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233C81">
        <w:rPr>
          <w:rFonts w:ascii="Times New Roman" w:hAnsi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65pt;margin-top:3.5pt;width:162.85pt;height:24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<v:fill opacity="0"/>
            <v:textbox inset="0,0,0,0">
              <w:txbxContent>
                <w:p w:rsidR="00120AA1" w:rsidRPr="00BE5DE1" w:rsidRDefault="00120AA1" w:rsidP="002702A7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BE5DE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14</w:t>
                  </w:r>
                  <w:r w:rsidRPr="00BE5DE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.06.2023</w:t>
                  </w:r>
                  <w:r w:rsidRPr="00BE5DE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256</w:t>
                  </w:r>
                </w:p>
              </w:txbxContent>
            </v:textbox>
            <w10:wrap type="square" side="largest"/>
          </v:shape>
        </w:pict>
      </w:r>
    </w:p>
    <w:p w:rsidR="002702A7" w:rsidRPr="00BE5DE1" w:rsidRDefault="002702A7" w:rsidP="002702A7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BE5DE1">
        <w:rPr>
          <w:rFonts w:cs="Times New Roman"/>
          <w:b/>
          <w:spacing w:val="24"/>
          <w:lang w:val="ru-RU"/>
        </w:rPr>
        <w:t>с</w:t>
      </w:r>
      <w:proofErr w:type="gramStart"/>
      <w:r w:rsidRPr="00BE5DE1">
        <w:rPr>
          <w:rFonts w:cs="Times New Roman"/>
          <w:b/>
          <w:spacing w:val="24"/>
          <w:lang w:val="ru-RU"/>
        </w:rPr>
        <w:t>.Б</w:t>
      </w:r>
      <w:proofErr w:type="gramEnd"/>
      <w:r w:rsidRPr="00BE5DE1">
        <w:rPr>
          <w:rFonts w:cs="Times New Roman"/>
          <w:b/>
          <w:spacing w:val="24"/>
          <w:lang w:val="ru-RU"/>
        </w:rPr>
        <w:t>алтай</w:t>
      </w:r>
    </w:p>
    <w:p w:rsidR="00B826E8" w:rsidRDefault="00B826E8" w:rsidP="00B826E8">
      <w:pPr>
        <w:spacing w:line="240" w:lineRule="auto"/>
        <w:contextualSpacing/>
        <w:rPr>
          <w:rFonts w:ascii="Times New Roman" w:hAnsi="Times New Roman" w:cs="Times New Roman"/>
        </w:rPr>
      </w:pPr>
    </w:p>
    <w:p w:rsidR="002702A7" w:rsidRDefault="00B826E8" w:rsidP="00B82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02A7">
        <w:rPr>
          <w:rFonts w:ascii="Times New Roman" w:hAnsi="Times New Roman" w:cs="Times New Roman"/>
          <w:b/>
          <w:sz w:val="28"/>
          <w:szCs w:val="28"/>
        </w:rPr>
        <w:t>О внесении изменений и</w:t>
      </w:r>
      <w:r w:rsidR="0027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2A7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</w:p>
    <w:p w:rsidR="00B826E8" w:rsidRPr="002702A7" w:rsidRDefault="00B826E8" w:rsidP="00B82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02A7"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="0027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2A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702A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270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6E8" w:rsidRPr="002702A7" w:rsidRDefault="00B826E8" w:rsidP="00B82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02A7">
        <w:rPr>
          <w:rFonts w:ascii="Times New Roman" w:hAnsi="Times New Roman" w:cs="Times New Roman"/>
          <w:b/>
          <w:sz w:val="28"/>
          <w:szCs w:val="28"/>
        </w:rPr>
        <w:t>муниципального района от 28.12.2020 № 4</w:t>
      </w:r>
      <w:r w:rsidR="00310E2C" w:rsidRPr="002702A7">
        <w:rPr>
          <w:rFonts w:ascii="Times New Roman" w:hAnsi="Times New Roman" w:cs="Times New Roman"/>
          <w:b/>
          <w:sz w:val="28"/>
          <w:szCs w:val="28"/>
        </w:rPr>
        <w:t>57</w:t>
      </w:r>
      <w:r w:rsidR="00270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6E8" w:rsidRPr="002702A7" w:rsidRDefault="00B826E8" w:rsidP="00B82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02A7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="00270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6E8" w:rsidRPr="002702A7" w:rsidRDefault="00B826E8" w:rsidP="00B82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02A7">
        <w:rPr>
          <w:rFonts w:ascii="Times New Roman" w:hAnsi="Times New Roman" w:cs="Times New Roman"/>
          <w:b/>
          <w:sz w:val="28"/>
          <w:szCs w:val="28"/>
        </w:rPr>
        <w:t xml:space="preserve">«Развитие системы образования на территории </w:t>
      </w:r>
    </w:p>
    <w:p w:rsidR="00B826E8" w:rsidRPr="002702A7" w:rsidRDefault="00B826E8" w:rsidP="00B82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02A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2702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B826E8" w:rsidRDefault="00B826E8" w:rsidP="00B826E8">
      <w:pPr>
        <w:rPr>
          <w:rFonts w:ascii="Times New Roman" w:hAnsi="Times New Roman" w:cs="Times New Roman"/>
          <w:sz w:val="28"/>
          <w:szCs w:val="28"/>
        </w:rPr>
      </w:pPr>
    </w:p>
    <w:p w:rsidR="00B826E8" w:rsidRDefault="00B826E8" w:rsidP="00C81B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Положением о порядке принятия решений о разработке муниципальных программ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проведения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2702A7">
        <w:rPr>
          <w:rFonts w:ascii="Times New Roman" w:hAnsi="Times New Roman" w:cs="Times New Roman"/>
          <w:sz w:val="28"/>
          <w:szCs w:val="28"/>
        </w:rPr>
        <w:t>ципального района,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14.04.2014 № 185,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B826E8" w:rsidRPr="002702A7" w:rsidRDefault="00310E2C" w:rsidP="00C81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A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0E2C" w:rsidRDefault="002702A7" w:rsidP="00C81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E2C" w:rsidRPr="00310E2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10E2C" w:rsidRPr="00310E2C">
        <w:rPr>
          <w:rFonts w:ascii="Times New Roman" w:hAnsi="Times New Roman" w:cs="Times New Roman"/>
          <w:sz w:val="28"/>
          <w:szCs w:val="28"/>
        </w:rPr>
        <w:t>от 28.12.2020 № 457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10E2C" w:rsidRPr="00310E2C">
        <w:rPr>
          <w:rFonts w:ascii="Times New Roman" w:hAnsi="Times New Roman" w:cs="Times New Roman"/>
          <w:sz w:val="28"/>
          <w:szCs w:val="28"/>
        </w:rPr>
        <w:t xml:space="preserve">азвитие системы образования на территории </w:t>
      </w:r>
      <w:proofErr w:type="spellStart"/>
      <w:r w:rsidR="00310E2C" w:rsidRPr="00310E2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310E2C" w:rsidRPr="00310E2C">
        <w:rPr>
          <w:rFonts w:ascii="Times New Roman" w:hAnsi="Times New Roman" w:cs="Times New Roman"/>
          <w:sz w:val="28"/>
          <w:szCs w:val="28"/>
        </w:rPr>
        <w:t xml:space="preserve"> муниципального района» следующие изменения и дополнения:</w:t>
      </w:r>
    </w:p>
    <w:p w:rsidR="002702A7" w:rsidRDefault="002702A7" w:rsidP="00C81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приложении к постановлению:</w:t>
      </w:r>
    </w:p>
    <w:p w:rsidR="0024227D" w:rsidRPr="0024227D" w:rsidRDefault="00CA3FC8" w:rsidP="00C8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02A7">
        <w:rPr>
          <w:rFonts w:ascii="Times New Roman" w:hAnsi="Times New Roman" w:cs="Times New Roman"/>
          <w:sz w:val="28"/>
          <w:szCs w:val="28"/>
        </w:rPr>
        <w:t>)р</w:t>
      </w:r>
      <w:r>
        <w:rPr>
          <w:rFonts w:ascii="Times New Roman" w:hAnsi="Times New Roman" w:cs="Times New Roman"/>
          <w:sz w:val="28"/>
          <w:szCs w:val="28"/>
        </w:rPr>
        <w:t>аздел «Объем и источники финансового обеспечения подпрограммы,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2702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2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1276"/>
        <w:gridCol w:w="1276"/>
        <w:gridCol w:w="1275"/>
        <w:gridCol w:w="1276"/>
        <w:gridCol w:w="1418"/>
        <w:gridCol w:w="1275"/>
      </w:tblGrid>
      <w:tr w:rsidR="00C81B3F" w:rsidRPr="00C81B3F" w:rsidTr="00C81B3F">
        <w:trPr>
          <w:trHeight w:val="2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3F" w:rsidRPr="00C81B3F" w:rsidRDefault="00C81B3F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и источники финансового обеспечения подпрограммы, </w:t>
            </w: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годам: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F" w:rsidRPr="00C81B3F" w:rsidRDefault="00C81B3F" w:rsidP="0024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расходы (тыс.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4227D" w:rsidRPr="00C81B3F" w:rsidTr="00C81B3F">
        <w:trPr>
          <w:trHeight w:val="5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24227D" w:rsidRPr="00C81B3F" w:rsidTr="00C81B3F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Федеральный бюджет (</w:t>
            </w:r>
            <w:proofErr w:type="spellStart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59776,8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11688,7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11320,7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14490,3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11161,1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11116,0</w:t>
            </w:r>
          </w:p>
        </w:tc>
      </w:tr>
      <w:tr w:rsidR="0024227D" w:rsidRPr="00C81B3F" w:rsidTr="00C81B3F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623067,3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114397,0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119972,4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136877,7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125335,8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126484,4</w:t>
            </w:r>
          </w:p>
        </w:tc>
      </w:tr>
      <w:tr w:rsidR="0024227D" w:rsidRPr="00C81B3F" w:rsidTr="00C81B3F">
        <w:trPr>
          <w:trHeight w:val="1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на проведение капитального и текущего ремонтов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24227D" w:rsidRPr="00C81B3F" w:rsidTr="00C81B3F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proofErr w:type="spellStart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108747,3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26909,0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28160,5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21302,4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16037,7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16037,7</w:t>
            </w:r>
          </w:p>
        </w:tc>
      </w:tr>
      <w:tr w:rsidR="0024227D" w:rsidRPr="00C81B3F" w:rsidTr="00C81B3F">
        <w:trPr>
          <w:trHeight w:val="9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на проведение капитального и текущего ремонтов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24227D" w:rsidRPr="00C81B3F" w:rsidTr="00C81B3F">
        <w:trPr>
          <w:trHeight w:val="3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C81B3F" w:rsidP="00242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10072,5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3701,90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3720,6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D" w:rsidRPr="00C81B3F" w:rsidRDefault="0024227D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</w:tbl>
    <w:p w:rsidR="0024227D" w:rsidRDefault="00492749" w:rsidP="00C81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02A7">
        <w:rPr>
          <w:rFonts w:ascii="Times New Roman" w:hAnsi="Times New Roman" w:cs="Times New Roman"/>
          <w:sz w:val="28"/>
          <w:szCs w:val="28"/>
        </w:rPr>
        <w:t>)р</w:t>
      </w:r>
      <w:r>
        <w:rPr>
          <w:rFonts w:ascii="Times New Roman" w:hAnsi="Times New Roman" w:cs="Times New Roman"/>
          <w:sz w:val="28"/>
          <w:szCs w:val="28"/>
        </w:rPr>
        <w:t>аздел «Объем и источники финансового обеспечения подпрограммы,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2702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3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275"/>
        <w:gridCol w:w="1134"/>
        <w:gridCol w:w="1276"/>
        <w:gridCol w:w="1134"/>
        <w:gridCol w:w="1276"/>
        <w:gridCol w:w="1276"/>
      </w:tblGrid>
      <w:tr w:rsidR="00C81B3F" w:rsidRPr="00C81B3F" w:rsidTr="00C81B3F">
        <w:trPr>
          <w:trHeight w:val="2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3F" w:rsidRPr="00C81B3F" w:rsidRDefault="00C81B3F" w:rsidP="00492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и источники финансового обеспечения подпрограммы, в том числе по годам: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F" w:rsidRPr="00C81B3F" w:rsidRDefault="00C81B3F" w:rsidP="0049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010974" w:rsidRPr="00C81B3F" w:rsidTr="00C81B3F">
        <w:trPr>
          <w:trHeight w:val="51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492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10974" w:rsidRPr="00C81B3F" w:rsidTr="00C81B3F">
        <w:trPr>
          <w:trHeight w:val="5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492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0974" w:rsidRPr="00C81B3F" w:rsidTr="00C81B3F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492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 (</w:t>
            </w:r>
            <w:proofErr w:type="spellStart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0974" w:rsidRPr="00C81B3F" w:rsidTr="00C81B3F">
        <w:trPr>
          <w:trHeight w:val="9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492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т.ч. сохранение достигнутых </w:t>
            </w:r>
            <w:proofErr w:type="gramStart"/>
            <w:r w:rsidRPr="00C8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C8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0974" w:rsidRPr="00C81B3F" w:rsidTr="00C81B3F">
        <w:trPr>
          <w:trHeight w:val="5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492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proofErr w:type="spellStart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16457,3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3826,6</w:t>
            </w:r>
          </w:p>
        </w:tc>
      </w:tr>
      <w:tr w:rsidR="00010974" w:rsidRPr="00C81B3F" w:rsidTr="00C81B3F">
        <w:trPr>
          <w:trHeight w:val="5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C81B3F" w:rsidP="004927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9" w:rsidRPr="00C81B3F" w:rsidRDefault="00492749" w:rsidP="00C8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1B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2702A7" w:rsidRDefault="00FB3629" w:rsidP="00C81B3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2A7">
        <w:rPr>
          <w:rFonts w:ascii="Times New Roman" w:hAnsi="Times New Roman" w:cs="Times New Roman"/>
          <w:sz w:val="28"/>
          <w:szCs w:val="28"/>
        </w:rPr>
        <w:t>)</w:t>
      </w:r>
      <w:r w:rsidR="00310E2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702A7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310E2C">
        <w:rPr>
          <w:rFonts w:ascii="Times New Roman" w:hAnsi="Times New Roman" w:cs="Times New Roman"/>
          <w:sz w:val="28"/>
          <w:szCs w:val="28"/>
        </w:rPr>
        <w:t xml:space="preserve">раздела 2.1. подпрограммы № 3 </w:t>
      </w:r>
      <w:r w:rsidR="00461D5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702A7">
        <w:rPr>
          <w:rFonts w:ascii="Times New Roman" w:hAnsi="Times New Roman" w:cs="Times New Roman"/>
          <w:sz w:val="28"/>
          <w:szCs w:val="28"/>
        </w:rPr>
        <w:t>следующей</w:t>
      </w:r>
      <w:r w:rsidR="00461D5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461D5B">
        <w:rPr>
          <w:rFonts w:ascii="Times New Roman" w:hAnsi="Times New Roman"/>
          <w:sz w:val="24"/>
          <w:szCs w:val="24"/>
        </w:rPr>
        <w:t xml:space="preserve"> </w:t>
      </w:r>
    </w:p>
    <w:p w:rsidR="00310E2C" w:rsidRDefault="00461D5B" w:rsidP="00C81B3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A28">
        <w:rPr>
          <w:rFonts w:ascii="Times New Roman" w:hAnsi="Times New Roman"/>
          <w:sz w:val="28"/>
          <w:szCs w:val="28"/>
        </w:rPr>
        <w:t>«В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</w:t>
      </w:r>
      <w:r w:rsidR="00C81B3F">
        <w:rPr>
          <w:rFonts w:ascii="Times New Roman" w:hAnsi="Times New Roman"/>
          <w:sz w:val="28"/>
          <w:szCs w:val="28"/>
        </w:rPr>
        <w:t xml:space="preserve"> </w:t>
      </w:r>
      <w:r w:rsidRPr="00C44A28">
        <w:rPr>
          <w:rFonts w:ascii="Times New Roman" w:hAnsi="Times New Roman"/>
          <w:sz w:val="28"/>
          <w:szCs w:val="28"/>
        </w:rPr>
        <w:t xml:space="preserve">678-р, </w:t>
      </w:r>
      <w:r w:rsidRPr="00C44A28">
        <w:rPr>
          <w:rFonts w:ascii="Times New Roman" w:hAnsi="Times New Roman" w:cs="Times New Roman"/>
          <w:sz w:val="28"/>
          <w:szCs w:val="28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</w:t>
      </w:r>
      <w:r w:rsidR="00C81B3F">
        <w:rPr>
          <w:rFonts w:ascii="Times New Roman" w:hAnsi="Times New Roman" w:cs="Times New Roman"/>
          <w:sz w:val="28"/>
          <w:szCs w:val="28"/>
        </w:rPr>
        <w:t xml:space="preserve"> </w:t>
      </w:r>
      <w:r w:rsidRPr="00C44A28">
        <w:rPr>
          <w:rFonts w:ascii="Times New Roman" w:hAnsi="Times New Roman" w:cs="Times New Roman"/>
          <w:sz w:val="28"/>
          <w:szCs w:val="28"/>
        </w:rPr>
        <w:t>1642</w:t>
      </w:r>
      <w:r w:rsidRPr="00C44A28">
        <w:rPr>
          <w:rFonts w:ascii="Times New Roman" w:hAnsi="Times New Roman"/>
          <w:sz w:val="28"/>
          <w:szCs w:val="28"/>
        </w:rPr>
        <w:t>, Указом Президента Российской Федерации от</w:t>
      </w:r>
      <w:proofErr w:type="gramEnd"/>
      <w:r w:rsidRPr="00C44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A28">
        <w:rPr>
          <w:rFonts w:ascii="Times New Roman" w:hAnsi="Times New Roman"/>
          <w:sz w:val="28"/>
          <w:szCs w:val="28"/>
        </w:rPr>
        <w:t>01.06.2012 №</w:t>
      </w:r>
      <w:r w:rsidR="00C81B3F">
        <w:rPr>
          <w:rFonts w:ascii="Times New Roman" w:hAnsi="Times New Roman"/>
          <w:sz w:val="28"/>
          <w:szCs w:val="28"/>
        </w:rPr>
        <w:t xml:space="preserve"> </w:t>
      </w:r>
      <w:r w:rsidRPr="00C44A28">
        <w:rPr>
          <w:rFonts w:ascii="Times New Roman" w:hAnsi="Times New Roman"/>
          <w:sz w:val="28"/>
          <w:szCs w:val="28"/>
        </w:rPr>
        <w:t xml:space="preserve">761, Приказом </w:t>
      </w:r>
      <w:proofErr w:type="spellStart"/>
      <w:r w:rsidRPr="00C44A2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44A28">
        <w:rPr>
          <w:rFonts w:ascii="Times New Roman" w:hAnsi="Times New Roman"/>
          <w:sz w:val="28"/>
          <w:szCs w:val="28"/>
        </w:rPr>
        <w:t xml:space="preserve"> России от 03.09.2019 №</w:t>
      </w:r>
      <w:r w:rsidR="00C81B3F">
        <w:rPr>
          <w:rFonts w:ascii="Times New Roman" w:hAnsi="Times New Roman"/>
          <w:sz w:val="28"/>
          <w:szCs w:val="28"/>
        </w:rPr>
        <w:t xml:space="preserve"> </w:t>
      </w:r>
      <w:r w:rsidRPr="00C44A28">
        <w:rPr>
          <w:rFonts w:ascii="Times New Roman" w:hAnsi="Times New Roman"/>
          <w:sz w:val="28"/>
          <w:szCs w:val="28"/>
        </w:rPr>
        <w:t xml:space="preserve">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proofErr w:type="spellStart"/>
      <w:r w:rsidRPr="00C44A28">
        <w:rPr>
          <w:rFonts w:ascii="Times New Roman" w:hAnsi="Times New Roman"/>
          <w:sz w:val="28"/>
          <w:szCs w:val="28"/>
        </w:rPr>
        <w:t>Балтайском</w:t>
      </w:r>
      <w:proofErr w:type="spellEnd"/>
      <w:r w:rsidRPr="00C44A28">
        <w:rPr>
          <w:rFonts w:ascii="Times New Roman" w:hAnsi="Times New Roman"/>
          <w:sz w:val="28"/>
          <w:szCs w:val="28"/>
        </w:rPr>
        <w:t xml:space="preserve"> муниципальном районе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</w:t>
      </w:r>
      <w:proofErr w:type="gramEnd"/>
      <w:r w:rsidRPr="00C44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A28">
        <w:rPr>
          <w:rFonts w:ascii="Times New Roman" w:hAnsi="Times New Roman"/>
          <w:sz w:val="28"/>
          <w:szCs w:val="28"/>
        </w:rPr>
        <w:t xml:space="preserve">Финансовое обеспечение реализации дополнительных </w:t>
      </w:r>
      <w:proofErr w:type="spellStart"/>
      <w:r w:rsidRPr="00C44A28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44A28">
        <w:rPr>
          <w:rFonts w:ascii="Times New Roman" w:hAnsi="Times New Roman"/>
          <w:sz w:val="28"/>
          <w:szCs w:val="28"/>
        </w:rPr>
        <w:t xml:space="preserve">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C81B3F">
        <w:rPr>
          <w:rFonts w:ascii="Times New Roman" w:hAnsi="Times New Roman"/>
          <w:sz w:val="28"/>
          <w:szCs w:val="28"/>
        </w:rPr>
        <w:t xml:space="preserve"> </w:t>
      </w:r>
      <w:r w:rsidRPr="00C44A28">
        <w:rPr>
          <w:rFonts w:ascii="Times New Roman" w:hAnsi="Times New Roman"/>
          <w:sz w:val="28"/>
          <w:szCs w:val="28"/>
        </w:rPr>
        <w:t xml:space="preserve">189-ФЗ), в том числе с применением </w:t>
      </w:r>
      <w:r w:rsidRPr="00C44A28">
        <w:rPr>
          <w:rFonts w:ascii="Times New Roman" w:hAnsi="Times New Roman"/>
          <w:sz w:val="28"/>
          <w:szCs w:val="28"/>
        </w:rPr>
        <w:lastRenderedPageBreak/>
        <w:t>предусмотренного пунктом 1 части 2 статьи 9 Федерального закона №</w:t>
      </w:r>
      <w:r w:rsidR="00C81B3F">
        <w:rPr>
          <w:rFonts w:ascii="Times New Roman" w:hAnsi="Times New Roman"/>
          <w:sz w:val="28"/>
          <w:szCs w:val="28"/>
        </w:rPr>
        <w:t xml:space="preserve"> </w:t>
      </w:r>
      <w:r w:rsidRPr="00C44A28">
        <w:rPr>
          <w:rFonts w:ascii="Times New Roman" w:hAnsi="Times New Roman"/>
          <w:sz w:val="28"/>
          <w:szCs w:val="28"/>
        </w:rPr>
        <w:t>189-ФЗ способа отбора исполнителей услуг в рамках персонифицированного</w:t>
      </w:r>
      <w:proofErr w:type="gramEnd"/>
      <w:r w:rsidRPr="00C44A28">
        <w:rPr>
          <w:rFonts w:ascii="Times New Roman" w:hAnsi="Times New Roman"/>
          <w:sz w:val="28"/>
          <w:szCs w:val="28"/>
        </w:rPr>
        <w:t xml:space="preserve"> финансирования дополнительного образования детей. Реализуемый финансово-</w:t>
      </w:r>
      <w:proofErr w:type="gramStart"/>
      <w:r w:rsidRPr="00C44A28">
        <w:rPr>
          <w:rFonts w:ascii="Times New Roman" w:hAnsi="Times New Roman"/>
          <w:sz w:val="28"/>
          <w:szCs w:val="28"/>
        </w:rPr>
        <w:t>экономический механизм</w:t>
      </w:r>
      <w:proofErr w:type="gramEnd"/>
      <w:r w:rsidRPr="00C44A28">
        <w:rPr>
          <w:rFonts w:ascii="Times New Roman" w:hAnsi="Times New Roman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</w:t>
      </w:r>
      <w:r w:rsidR="00C44A28"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 w:rsidR="00C44A2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44A2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44A28">
        <w:rPr>
          <w:rFonts w:ascii="Times New Roman" w:hAnsi="Times New Roman"/>
          <w:sz w:val="28"/>
          <w:szCs w:val="28"/>
        </w:rPr>
        <w:t xml:space="preserve">руководствуется требованиями к условиям и порядку оказания муниципальных услуг в социальной сфере по реализации дополнительных </w:t>
      </w:r>
      <w:proofErr w:type="spellStart"/>
      <w:r w:rsidRPr="00C44A28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44A28">
        <w:rPr>
          <w:rFonts w:ascii="Times New Roman" w:hAnsi="Times New Roman"/>
          <w:sz w:val="28"/>
          <w:szCs w:val="28"/>
        </w:rPr>
        <w:t xml:space="preserve"> программ и ежегодно принимает программу персонифицированного финансирования дополнительного образования детей в </w:t>
      </w:r>
      <w:proofErr w:type="spellStart"/>
      <w:r w:rsidR="00C44A28">
        <w:rPr>
          <w:rFonts w:ascii="Times New Roman" w:hAnsi="Times New Roman"/>
          <w:sz w:val="28"/>
          <w:szCs w:val="28"/>
        </w:rPr>
        <w:t>Балтайском</w:t>
      </w:r>
      <w:proofErr w:type="spellEnd"/>
      <w:r w:rsidR="00C44A28">
        <w:rPr>
          <w:rFonts w:ascii="Times New Roman" w:hAnsi="Times New Roman"/>
          <w:sz w:val="28"/>
          <w:szCs w:val="28"/>
        </w:rPr>
        <w:t xml:space="preserve"> </w:t>
      </w:r>
      <w:r w:rsidR="002702A7">
        <w:rPr>
          <w:rFonts w:ascii="Times New Roman" w:hAnsi="Times New Roman"/>
          <w:sz w:val="28"/>
          <w:szCs w:val="28"/>
        </w:rPr>
        <w:t xml:space="preserve">муниципальном </w:t>
      </w:r>
      <w:r w:rsidR="00C44A28">
        <w:rPr>
          <w:rFonts w:ascii="Times New Roman" w:hAnsi="Times New Roman"/>
          <w:sz w:val="28"/>
          <w:szCs w:val="28"/>
        </w:rPr>
        <w:t>районе</w:t>
      </w:r>
      <w:proofErr w:type="gramStart"/>
      <w:r w:rsidR="00C44A28">
        <w:rPr>
          <w:rFonts w:ascii="Times New Roman" w:hAnsi="Times New Roman"/>
          <w:sz w:val="28"/>
          <w:szCs w:val="28"/>
        </w:rPr>
        <w:t>.</w:t>
      </w:r>
      <w:r w:rsidR="002702A7">
        <w:rPr>
          <w:rFonts w:ascii="Times New Roman" w:hAnsi="Times New Roman"/>
          <w:sz w:val="28"/>
          <w:szCs w:val="28"/>
        </w:rPr>
        <w:t>»;</w:t>
      </w:r>
      <w:proofErr w:type="gramEnd"/>
    </w:p>
    <w:p w:rsidR="00076411" w:rsidRDefault="00FB3629" w:rsidP="00C81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56A">
        <w:rPr>
          <w:rFonts w:ascii="Times New Roman" w:hAnsi="Times New Roman" w:cs="Times New Roman"/>
          <w:sz w:val="28"/>
          <w:szCs w:val="28"/>
        </w:rPr>
        <w:t>)</w:t>
      </w:r>
      <w:r w:rsidR="002702A7">
        <w:rPr>
          <w:rFonts w:ascii="Times New Roman" w:hAnsi="Times New Roman" w:cs="Times New Roman"/>
          <w:sz w:val="28"/>
          <w:szCs w:val="28"/>
        </w:rPr>
        <w:t>абзацы 24-36</w:t>
      </w:r>
      <w:r w:rsidR="00310E2C">
        <w:rPr>
          <w:rFonts w:ascii="Times New Roman" w:hAnsi="Times New Roman" w:cs="Times New Roman"/>
          <w:sz w:val="28"/>
          <w:szCs w:val="28"/>
        </w:rPr>
        <w:t xml:space="preserve"> подпрограммы № 3 раздела 2.2. </w:t>
      </w:r>
      <w:r w:rsidR="002702A7">
        <w:rPr>
          <w:rFonts w:ascii="Times New Roman" w:hAnsi="Times New Roman" w:cs="Times New Roman"/>
          <w:sz w:val="28"/>
          <w:szCs w:val="28"/>
        </w:rPr>
        <w:t>подпрограммы № 3</w:t>
      </w:r>
      <w:r w:rsidR="00310E2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702A7">
        <w:rPr>
          <w:rFonts w:ascii="Times New Roman" w:hAnsi="Times New Roman" w:cs="Times New Roman"/>
          <w:sz w:val="28"/>
          <w:szCs w:val="28"/>
        </w:rPr>
        <w:t>следующей</w:t>
      </w:r>
      <w:r w:rsidR="00F8556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1096E" w:rsidRDefault="00310E2C" w:rsidP="00C81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6411">
        <w:rPr>
          <w:rFonts w:ascii="Times New Roman" w:hAnsi="Times New Roman" w:cs="Times New Roman"/>
          <w:sz w:val="28"/>
          <w:szCs w:val="28"/>
        </w:rPr>
        <w:t>-</w:t>
      </w:r>
      <w:r w:rsidR="0051096E">
        <w:rPr>
          <w:rFonts w:ascii="Times New Roman" w:hAnsi="Times New Roman" w:cs="Times New Roman"/>
          <w:sz w:val="28"/>
          <w:szCs w:val="28"/>
        </w:rPr>
        <w:t>обеспечение функционирования общеобразовательных организаций и учреждений дополнительного образования в соответствии с санитарными нормами и правилами.</w:t>
      </w:r>
    </w:p>
    <w:p w:rsidR="00696B27" w:rsidRDefault="0051096E" w:rsidP="00C81B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специальными наименованиями «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школа», «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хоровая школа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«детская художественная школа», «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хореографическая школа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театральная школа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цирковая</w:t>
      </w:r>
      <w:proofErr w:type="gramEnd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художественных ремесел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детские школы искусств).</w:t>
      </w:r>
    </w:p>
    <w:p w:rsidR="00696B27" w:rsidRDefault="0051096E" w:rsidP="00C81B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 степень </w:t>
      </w:r>
      <w:proofErr w:type="gramStart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механизма персонифицированного учета дополнительного образования детей</w:t>
      </w:r>
      <w:proofErr w:type="gramEnd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27" w:rsidRDefault="0051096E" w:rsidP="00C81B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 (за исключением обучающихся в детских школах искусств).</w:t>
      </w:r>
    </w:p>
    <w:p w:rsidR="00696B27" w:rsidRDefault="0051096E" w:rsidP="00C81B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  <w:proofErr w:type="spellStart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Спдо=</w:t>
      </w:r>
      <w:proofErr w:type="spellEnd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Чспдо</w:t>
      </w:r>
      <w:proofErr w:type="spellEnd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Чобуч5-18)*100%, где:</w:t>
      </w:r>
    </w:p>
    <w:p w:rsidR="00696B27" w:rsidRDefault="0051096E" w:rsidP="00C81B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Чспдо</w:t>
      </w:r>
      <w:proofErr w:type="spellEnd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  <w:proofErr w:type="gramEnd"/>
    </w:p>
    <w:p w:rsidR="0051096E" w:rsidRPr="00696B27" w:rsidRDefault="0051096E" w:rsidP="00C81B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Чобуч</w:t>
      </w:r>
      <w:proofErr w:type="spellEnd"/>
      <w:r w:rsidR="00FB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 в детских школах искусств) (</w:t>
      </w:r>
      <w:proofErr w:type="spellStart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пообъектный</w:t>
      </w:r>
      <w:proofErr w:type="spellEnd"/>
      <w:r w:rsidRPr="0051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мониторинг).</w:t>
      </w:r>
    </w:p>
    <w:p w:rsidR="008970DD" w:rsidRPr="008970DD" w:rsidRDefault="008970DD" w:rsidP="00C81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Доля детей в возрасте от 5 до 18 </w:t>
      </w:r>
      <w:proofErr w:type="gram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лет, обучающихся по дополнительным </w:t>
      </w:r>
      <w:proofErr w:type="spell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общеразвивающим</w:t>
      </w:r>
      <w:proofErr w:type="spellEnd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программам за счет социального сертификата на получение муниципальной услуги в социальной сфере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</w:t>
      </w:r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арактеризует</w:t>
      </w:r>
      <w:proofErr w:type="gramEnd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степень внедрения механизма персонифицированного финансирования и доступность дополнительного образования.</w:t>
      </w:r>
    </w:p>
    <w:p w:rsidR="008970DD" w:rsidRPr="008970DD" w:rsidRDefault="008970DD" w:rsidP="00C81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Определяется отношением числа детей в возрасте от 5 до 18 лет, обучающихся по дополнительным </w:t>
      </w:r>
      <w:proofErr w:type="spell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общеразвивающим</w:t>
      </w:r>
      <w:proofErr w:type="spellEnd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программам за счет социального сертификата на получение муниципальной услуги в социальной сфере, к общей численности детей в возрасте от 5 до 18 лет, проживающих на территории муниципалитета.</w:t>
      </w:r>
    </w:p>
    <w:p w:rsidR="008970DD" w:rsidRPr="008970DD" w:rsidRDefault="008970DD" w:rsidP="00C81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Рассчитывается по формуле: </w:t>
      </w:r>
      <w:proofErr w:type="spell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Спф=</w:t>
      </w:r>
      <w:proofErr w:type="spellEnd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Чдспф</w:t>
      </w:r>
      <w:proofErr w:type="spellEnd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Ч5-18)*100%, где:</w:t>
      </w:r>
    </w:p>
    <w:p w:rsidR="008970DD" w:rsidRPr="008970DD" w:rsidRDefault="008970DD" w:rsidP="00C81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Чдспф</w:t>
      </w:r>
      <w:proofErr w:type="spellEnd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общая численность детей, обучающихся по дополнительным </w:t>
      </w:r>
      <w:proofErr w:type="spell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общеразвивающим</w:t>
      </w:r>
      <w:proofErr w:type="spellEnd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программам за счет социального сертификата на получение муниципальной услуги в социальной сфере</w:t>
      </w:r>
      <w:r w:rsidR="00F85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970DD" w:rsidRDefault="008970DD" w:rsidP="00C81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Ч5-18 - численность детей в возрасте от 5 до 18 лет, проживающих на территории муниципалитета</w:t>
      </w:r>
      <w:proofErr w:type="gramStart"/>
      <w:r w:rsidRPr="00897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70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  <w:proofErr w:type="gramEnd"/>
    </w:p>
    <w:p w:rsidR="00F13BE6" w:rsidRPr="00FB3629" w:rsidRDefault="002702A7" w:rsidP="00C81B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5)раздел подпрограммы</w:t>
      </w:r>
      <w:r w:rsidR="00F13BE6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 «Развитие системы дополнительного образования» приложения №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3BE6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муниципальной программе «Развитие системы образования на территории </w:t>
      </w:r>
      <w:proofErr w:type="spellStart"/>
      <w:r w:rsidR="00F13BE6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Балтайского</w:t>
      </w:r>
      <w:proofErr w:type="spellEnd"/>
      <w:r w:rsidR="00F13BE6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района» изложить в следующей редакции:</w:t>
      </w:r>
    </w:p>
    <w:tbl>
      <w:tblPr>
        <w:tblStyle w:val="a9"/>
        <w:tblW w:w="9463" w:type="dxa"/>
        <w:tblInd w:w="108" w:type="dxa"/>
        <w:tblLayout w:type="fixed"/>
        <w:tblLook w:val="04A0"/>
      </w:tblPr>
      <w:tblGrid>
        <w:gridCol w:w="567"/>
        <w:gridCol w:w="3544"/>
        <w:gridCol w:w="142"/>
        <w:gridCol w:w="852"/>
        <w:gridCol w:w="1132"/>
        <w:gridCol w:w="993"/>
        <w:gridCol w:w="1134"/>
        <w:gridCol w:w="1099"/>
      </w:tblGrid>
      <w:tr w:rsidR="00B11877" w:rsidRPr="00F8556A" w:rsidTr="00F8556A">
        <w:trPr>
          <w:trHeight w:val="420"/>
        </w:trPr>
        <w:tc>
          <w:tcPr>
            <w:tcW w:w="567" w:type="dxa"/>
            <w:vMerge w:val="restart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58" w:type="dxa"/>
            <w:gridSpan w:val="4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11877" w:rsidRPr="00F8556A" w:rsidTr="00F8556A">
        <w:trPr>
          <w:trHeight w:val="870"/>
        </w:trPr>
        <w:tc>
          <w:tcPr>
            <w:tcW w:w="567" w:type="dxa"/>
            <w:vMerge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99" w:type="dxa"/>
            <w:vAlign w:val="center"/>
          </w:tcPr>
          <w:p w:rsidR="00B11877" w:rsidRPr="00F8556A" w:rsidRDefault="00B11877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2024</w:t>
            </w:r>
          </w:p>
        </w:tc>
      </w:tr>
      <w:tr w:rsidR="00B11877" w:rsidRPr="00F8556A" w:rsidTr="00F8556A">
        <w:tc>
          <w:tcPr>
            <w:tcW w:w="9463" w:type="dxa"/>
            <w:gridSpan w:val="8"/>
          </w:tcPr>
          <w:p w:rsidR="00B11877" w:rsidRPr="00F8556A" w:rsidRDefault="00B11877" w:rsidP="00862F4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Подпрограмма 3 «Развитие системы дополнительного образования»</w:t>
            </w:r>
          </w:p>
        </w:tc>
      </w:tr>
      <w:tr w:rsidR="00B11877" w:rsidRPr="00F8556A" w:rsidTr="00F8556A">
        <w:tc>
          <w:tcPr>
            <w:tcW w:w="567" w:type="dxa"/>
          </w:tcPr>
          <w:p w:rsidR="00F13BE6" w:rsidRPr="00F8556A" w:rsidRDefault="00F13BE6" w:rsidP="00F13BE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BC1163" w:rsidRPr="00F8556A" w:rsidRDefault="00B11877" w:rsidP="00862F4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Показатель 1 </w:t>
            </w:r>
          </w:p>
          <w:p w:rsidR="00F13BE6" w:rsidRPr="00F8556A" w:rsidRDefault="00B11877" w:rsidP="00862F4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Среднегодовая численность детей в возрасте от 5 до 18 лет, охваченных программами дополнительного образования на базе учреждений дополнительного образования (по итогам</w:t>
            </w:r>
            <w:r w:rsidR="00862F4A"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календарного года</w:t>
            </w:r>
            <w:proofErr w:type="gramEnd"/>
          </w:p>
        </w:tc>
        <w:tc>
          <w:tcPr>
            <w:tcW w:w="852" w:type="dxa"/>
          </w:tcPr>
          <w:p w:rsidR="00F13BE6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2" w:type="dxa"/>
          </w:tcPr>
          <w:p w:rsidR="00F13BE6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993" w:type="dxa"/>
          </w:tcPr>
          <w:p w:rsidR="00F13BE6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134" w:type="dxa"/>
          </w:tcPr>
          <w:p w:rsidR="00F13BE6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099" w:type="dxa"/>
          </w:tcPr>
          <w:p w:rsidR="00F13BE6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540</w:t>
            </w:r>
          </w:p>
        </w:tc>
      </w:tr>
      <w:tr w:rsidR="00862F4A" w:rsidRPr="00F8556A" w:rsidTr="00F8556A">
        <w:tc>
          <w:tcPr>
            <w:tcW w:w="567" w:type="dxa"/>
          </w:tcPr>
          <w:p w:rsidR="00862F4A" w:rsidRPr="00F8556A" w:rsidRDefault="00862F4A" w:rsidP="00F13BE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862F4A" w:rsidRPr="00F8556A" w:rsidRDefault="00862F4A" w:rsidP="00862F4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Показатель 2 </w:t>
            </w:r>
          </w:p>
          <w:p w:rsidR="00862F4A" w:rsidRPr="00F8556A" w:rsidRDefault="00862F4A" w:rsidP="00862F4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</w:t>
            </w: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численности детей, получающих дополнительное образование за счет бюджетных средств</w:t>
            </w:r>
          </w:p>
        </w:tc>
        <w:tc>
          <w:tcPr>
            <w:tcW w:w="852" w:type="dxa"/>
          </w:tcPr>
          <w:p w:rsidR="00862F4A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2" w:type="dxa"/>
          </w:tcPr>
          <w:p w:rsidR="00862F4A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3" w:type="dxa"/>
          </w:tcPr>
          <w:p w:rsidR="00862F4A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862F4A" w:rsidRPr="00F8556A" w:rsidRDefault="00BC1163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1099" w:type="dxa"/>
          </w:tcPr>
          <w:p w:rsidR="00862F4A" w:rsidRPr="00F8556A" w:rsidRDefault="00BC1163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78,1</w:t>
            </w:r>
          </w:p>
        </w:tc>
      </w:tr>
      <w:tr w:rsidR="00862F4A" w:rsidRPr="00F8556A" w:rsidTr="00F8556A">
        <w:tc>
          <w:tcPr>
            <w:tcW w:w="567" w:type="dxa"/>
          </w:tcPr>
          <w:p w:rsidR="00862F4A" w:rsidRPr="00F8556A" w:rsidRDefault="00862F4A" w:rsidP="00F13BE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862F4A" w:rsidRPr="00F8556A" w:rsidRDefault="00862F4A" w:rsidP="00862F4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Показатель 3 </w:t>
            </w:r>
          </w:p>
          <w:p w:rsidR="00862F4A" w:rsidRPr="00F8556A" w:rsidRDefault="00862F4A" w:rsidP="00862F4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2" w:type="dxa"/>
          </w:tcPr>
          <w:p w:rsidR="00862F4A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2" w:type="dxa"/>
          </w:tcPr>
          <w:p w:rsidR="00862F4A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862F4A" w:rsidRPr="00F8556A" w:rsidRDefault="00862F4A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862F4A" w:rsidRPr="00F8556A" w:rsidRDefault="00224108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BC1163"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862F4A" w:rsidRPr="00F8556A" w:rsidRDefault="00224108" w:rsidP="00F855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BC1163" w:rsidRPr="00F855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3F7F97" w:rsidRPr="00FB3629" w:rsidRDefault="002702A7" w:rsidP="00F855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6)строку</w:t>
      </w:r>
      <w:r w:rsidR="009D2500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«Основное мероприятие</w:t>
      </w:r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3.2.</w:t>
      </w:r>
      <w:r w:rsidR="009D2500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приложения №</w:t>
      </w:r>
      <w:r w:rsidR="00F85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к муниципальной программе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системы образования на территории </w:t>
      </w:r>
      <w:proofErr w:type="spellStart"/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Балтайского</w:t>
      </w:r>
      <w:proofErr w:type="spellEnd"/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дополнить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абзацем следующего содержания</w:t>
      </w:r>
      <w:r w:rsidR="003F7F97" w:rsidRPr="00FB3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F7F97" w:rsidRPr="00EF7444" w:rsidRDefault="009D2500" w:rsidP="00F85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85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Предполагает:</w:t>
      </w:r>
    </w:p>
    <w:p w:rsidR="003F7F97" w:rsidRDefault="00F8556A" w:rsidP="00F855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3F7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персонифицированного дополнительного образования с возможность использования в рамках механизмов перс</w:t>
      </w:r>
      <w:r w:rsidR="00EF7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онифицированного финансирования;</w:t>
      </w:r>
    </w:p>
    <w:p w:rsidR="00EF7444" w:rsidRDefault="00F8556A" w:rsidP="00F855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EF7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методическое и информационное сопровождение исполнителей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</w:r>
      <w:proofErr w:type="gramStart"/>
      <w:r w:rsidR="00270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D2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EF7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FB3629" w:rsidRPr="003F7F97" w:rsidRDefault="00FB3629" w:rsidP="00F855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2.Приложение № 3 к муниципальной программе «Развитие системы образования на территории </w:t>
      </w:r>
      <w:proofErr w:type="spellStart"/>
      <w:r>
        <w:rPr>
          <w:rStyle w:val="aa"/>
          <w:rFonts w:ascii="Times New Roman" w:hAnsi="Times New Roman"/>
          <w:i w:val="0"/>
          <w:sz w:val="28"/>
          <w:szCs w:val="28"/>
        </w:rPr>
        <w:t>Балтайского</w:t>
      </w:r>
      <w:proofErr w:type="spellEnd"/>
      <w:r>
        <w:rPr>
          <w:rStyle w:val="aa"/>
          <w:rFonts w:ascii="Times New Roman" w:hAnsi="Times New Roman"/>
          <w:i w:val="0"/>
          <w:sz w:val="28"/>
          <w:szCs w:val="28"/>
        </w:rPr>
        <w:t xml:space="preserve"> муниципального района»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приложению.</w:t>
      </w:r>
    </w:p>
    <w:p w:rsidR="00C81B3F" w:rsidRDefault="00C81B3F" w:rsidP="00F855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FB76C5" w:rsidRPr="00FB76C5" w:rsidRDefault="00C81B3F" w:rsidP="00F855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proofErr w:type="gramStart"/>
      <w:r w:rsidR="00FB7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FB7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исполнением постановления возложить на начальника управления по социальным вопросам администрации </w:t>
      </w:r>
      <w:proofErr w:type="spellStart"/>
      <w:r w:rsidR="00FB7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Балтайского</w:t>
      </w:r>
      <w:proofErr w:type="spellEnd"/>
      <w:r w:rsidR="00FB7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района.</w:t>
      </w:r>
    </w:p>
    <w:p w:rsidR="008970DD" w:rsidRDefault="008970DD" w:rsidP="00FB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6A" w:rsidRDefault="00F8556A" w:rsidP="00FB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6A" w:rsidRPr="0051096E" w:rsidRDefault="00F8556A" w:rsidP="00FB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2C" w:rsidRDefault="00EF7444" w:rsidP="00310E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FB3629" w:rsidRDefault="00EF7444" w:rsidP="00310E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F855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FB3629" w:rsidRDefault="00FB3629" w:rsidP="00310E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B3629" w:rsidSect="00C81B3F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C1AC3" w:rsidRPr="00C81B3F" w:rsidRDefault="00BC1AC3" w:rsidP="00BC1AC3">
      <w:pPr>
        <w:spacing w:after="0" w:line="240" w:lineRule="auto"/>
        <w:ind w:left="113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B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1AC3" w:rsidRPr="00C81B3F" w:rsidRDefault="00BC1AC3" w:rsidP="00C81B3F">
      <w:pPr>
        <w:spacing w:after="0" w:line="240" w:lineRule="auto"/>
        <w:ind w:left="1020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1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BC1AC3" w:rsidRPr="00C81B3F" w:rsidRDefault="00BC1AC3" w:rsidP="00C81B3F">
      <w:pPr>
        <w:spacing w:after="0" w:line="240" w:lineRule="auto"/>
        <w:ind w:left="1020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81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Балтайского</w:t>
      </w:r>
      <w:proofErr w:type="spellEnd"/>
      <w:r w:rsidRPr="00C81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BC1AC3" w:rsidRPr="00C81B3F" w:rsidRDefault="00BC1AC3" w:rsidP="00C81B3F">
      <w:pPr>
        <w:spacing w:after="0" w:line="240" w:lineRule="auto"/>
        <w:ind w:left="1020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1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C81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14.06.2023</w:t>
      </w:r>
      <w:r w:rsidRPr="00C81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 w:rsidR="00C81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256</w:t>
      </w:r>
    </w:p>
    <w:p w:rsidR="00F8556A" w:rsidRDefault="00F8556A" w:rsidP="00F8556A">
      <w:pPr>
        <w:tabs>
          <w:tab w:val="left" w:pos="59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56A" w:rsidRDefault="00F8556A" w:rsidP="00F8556A">
      <w:pPr>
        <w:tabs>
          <w:tab w:val="left" w:pos="59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29" w:rsidRPr="00F8556A" w:rsidRDefault="00BC1AC3" w:rsidP="00F8556A">
      <w:pPr>
        <w:tabs>
          <w:tab w:val="left" w:pos="59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6A">
        <w:rPr>
          <w:rFonts w:ascii="Times New Roman" w:hAnsi="Times New Roman" w:cs="Times New Roman"/>
          <w:b/>
          <w:sz w:val="28"/>
          <w:szCs w:val="28"/>
        </w:rPr>
        <w:t>Сведения об объемах и источниках финансового обеспечения Программы</w:t>
      </w:r>
    </w:p>
    <w:p w:rsidR="00BC1AC3" w:rsidRPr="00F8556A" w:rsidRDefault="00F8556A" w:rsidP="00F8556A">
      <w:pPr>
        <w:tabs>
          <w:tab w:val="left" w:pos="59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1AC3" w:rsidRPr="00F8556A">
        <w:rPr>
          <w:rFonts w:ascii="Times New Roman" w:hAnsi="Times New Roman" w:cs="Times New Roman"/>
          <w:b/>
          <w:sz w:val="28"/>
          <w:szCs w:val="28"/>
        </w:rPr>
        <w:t xml:space="preserve">Развитие системы образования на территории </w:t>
      </w:r>
      <w:proofErr w:type="spellStart"/>
      <w:r w:rsidR="00BC1AC3" w:rsidRPr="00F8556A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BC1AC3" w:rsidRDefault="00BC1AC3" w:rsidP="00F8556A">
      <w:pPr>
        <w:tabs>
          <w:tab w:val="left" w:pos="592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2660"/>
        <w:gridCol w:w="2268"/>
        <w:gridCol w:w="2268"/>
        <w:gridCol w:w="1700"/>
        <w:gridCol w:w="1417"/>
        <w:gridCol w:w="1420"/>
        <w:gridCol w:w="1417"/>
        <w:gridCol w:w="1420"/>
        <w:gridCol w:w="1350"/>
      </w:tblGrid>
      <w:tr w:rsidR="00F8556A" w:rsidRPr="00F8556A" w:rsidTr="00F8556A">
        <w:trPr>
          <w:trHeight w:val="975"/>
        </w:trPr>
        <w:tc>
          <w:tcPr>
            <w:tcW w:w="835" w:type="pct"/>
            <w:vMerge w:val="restart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12" w:type="pct"/>
            <w:vMerge w:val="restart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712" w:type="pct"/>
            <w:vMerge w:val="restart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4" w:type="pct"/>
            <w:vMerge w:val="restart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Объемы</w:t>
            </w:r>
          </w:p>
          <w:p w:rsid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финансирования, всего </w:t>
            </w:r>
          </w:p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206" w:type="pct"/>
            <w:gridSpan w:val="5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F8556A" w:rsidRPr="00F8556A" w:rsidTr="00F8556A">
        <w:trPr>
          <w:trHeight w:val="1515"/>
        </w:trPr>
        <w:tc>
          <w:tcPr>
            <w:tcW w:w="835" w:type="pct"/>
            <w:vMerge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" w:type="pct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446" w:type="pct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45" w:type="pct"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46" w:type="pct"/>
            <w:noWrap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424" w:type="pct"/>
            <w:noWrap/>
            <w:vAlign w:val="center"/>
            <w:hideMark/>
          </w:tcPr>
          <w:p w:rsidR="00F8556A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F8556A" w:rsidRPr="00F8556A" w:rsidTr="00F8556A">
        <w:trPr>
          <w:trHeight w:val="390"/>
        </w:trPr>
        <w:tc>
          <w:tcPr>
            <w:tcW w:w="83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6" w:type="pct"/>
            <w:noWrap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noWrap/>
            <w:hideMark/>
          </w:tcPr>
          <w:p w:rsidR="00BC1AC3" w:rsidRPr="00F8556A" w:rsidRDefault="00F8556A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«Развитие системы образования на территории </w:t>
            </w:r>
            <w:proofErr w:type="spellStart"/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администра</w:t>
            </w:r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712" w:type="pct"/>
            <w:hideMark/>
          </w:tcPr>
          <w:p w:rsidR="00BC1AC3" w:rsidRPr="00F8556A" w:rsidRDefault="00F8556A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1116800,9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214227,9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226875,1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296540,9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187550,6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191606,4</w:t>
            </w:r>
          </w:p>
        </w:tc>
      </w:tr>
      <w:tr w:rsidR="00F8556A" w:rsidRPr="00F8556A" w:rsidTr="00F8556A">
        <w:trPr>
          <w:trHeight w:val="117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119574,7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11688,7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11320,7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74288,2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11161,1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11116,0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770441,4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144932,7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153421,2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173907,4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148515,7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149664,4</w:t>
            </w:r>
          </w:p>
        </w:tc>
      </w:tr>
      <w:tr w:rsidR="00F8556A" w:rsidRPr="00F8556A" w:rsidTr="00F8556A">
        <w:trPr>
          <w:trHeight w:val="16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сохранение достигнутых </w:t>
            </w: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3963,9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1382,6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59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 т.ч. на проведение капитального и текущего ремонтов муниципальных 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7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F8556A">
              <w:rPr>
                <w:rFonts w:ascii="Times New Roman" w:hAnsi="Times New Roman" w:cs="Times New Roman"/>
                <w:sz w:val="28"/>
                <w:szCs w:val="28"/>
              </w:rPr>
              <w:t>лтайского</w:t>
            </w:r>
            <w:proofErr w:type="spellEnd"/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201984,8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50356,5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54065,8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38862,7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27873,8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30826,0</w:t>
            </w:r>
          </w:p>
        </w:tc>
      </w:tr>
      <w:tr w:rsidR="00F8556A" w:rsidRPr="00F8556A" w:rsidTr="00F8556A">
        <w:trPr>
          <w:trHeight w:val="557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на проведение капитального и текущего ремонтов муниципальных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264,1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51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F8556A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24800,0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7250,0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8067,4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9482,6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F8556A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7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59797,9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59797,9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7390,7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322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F8556A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48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 «Развитие системы дошкольного образования»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</w:t>
            </w:r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района, дошкольные 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12" w:type="pct"/>
            <w:hideMark/>
          </w:tcPr>
          <w:p w:rsidR="00BC1AC3" w:rsidRPr="00F8556A" w:rsidRDefault="00F8556A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219191,0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52452,5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55434,0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45973,4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31189,4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34141,7</w:t>
            </w:r>
          </w:p>
        </w:tc>
      </w:tr>
      <w:tr w:rsidR="00F8556A" w:rsidRPr="00F8556A" w:rsidTr="00F8556A">
        <w:trPr>
          <w:trHeight w:val="87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135391,5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29533,4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31758,2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27740,0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23179,9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23180,0</w:t>
            </w:r>
          </w:p>
        </w:tc>
      </w:tr>
      <w:tr w:rsidR="00F8556A" w:rsidRPr="00F8556A" w:rsidTr="00F8556A">
        <w:trPr>
          <w:trHeight w:val="81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на проведение капитального и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ремонтов муниципальных 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2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местный бюд</w:t>
            </w:r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  <w:proofErr w:type="spellStart"/>
            <w:r w:rsid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69072,0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18319,1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19310,3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12471,4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10961,7</w:t>
            </w:r>
          </w:p>
        </w:tc>
      </w:tr>
      <w:tr w:rsidR="00F8556A" w:rsidRPr="00F8556A" w:rsidTr="00120AA1">
        <w:trPr>
          <w:trHeight w:val="66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14727,5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4365,5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5762,0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дошкольные 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188999,2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45110,4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46460,2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35794,0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32293,4</w:t>
            </w:r>
          </w:p>
        </w:tc>
      </w:tr>
      <w:tr w:rsidR="00F8556A" w:rsidRPr="00F8556A" w:rsidTr="00120AA1">
        <w:trPr>
          <w:trHeight w:val="112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качественного дошкольного образования (оплата труда, услуги связи,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, капитальные и текущие ремонты, создание безопасных условий пребывания воспитанников, укрепление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материально-технической базы, участие в семинарах, конкурсах 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районного и областного уровней)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121074,1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27208,9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27538,7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21331,7</w:t>
            </w:r>
          </w:p>
        </w:tc>
      </w:tr>
      <w:tr w:rsidR="00F8556A" w:rsidRPr="00F8556A" w:rsidTr="00F8556A">
        <w:trPr>
          <w:trHeight w:val="12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67925,1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17901,5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18921,5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12130,9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10961,7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120AA1">
        <w:trPr>
          <w:trHeight w:val="87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дошкольные 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16487,0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4980,2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4638,0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6164,3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352,2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352,3</w:t>
            </w:r>
          </w:p>
        </w:tc>
      </w:tr>
      <w:tr w:rsidR="00F8556A" w:rsidRPr="00F8556A" w:rsidTr="00120AA1">
        <w:trPr>
          <w:trHeight w:val="126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расходов 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за присмотр и уход за детьми в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организациях, реализующих основную общеобразовательную пр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ограмму дошкольного образования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1663,9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352,2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352,3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14727,5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4365,5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5762,0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7725,9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</w:tr>
      <w:tr w:rsidR="00F8556A" w:rsidRPr="00F8556A" w:rsidTr="00F8556A">
        <w:trPr>
          <w:trHeight w:val="1440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 образовательных организациях, реализующих основную общеобразовательную пр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ограмму дошкольного образования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7725,9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</w:tr>
      <w:tr w:rsidR="00F8556A" w:rsidRPr="00F8556A" w:rsidTr="00F8556A">
        <w:trPr>
          <w:trHeight w:val="139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2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4123,7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2061,8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2061,9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82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proofErr w:type="gram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текущего ремонтов муниципальных образовательных организациях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90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на проведение капитального и текущего ремонтов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39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2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 т.ч. на проведение капитального и текущего ремонтов муниципальных 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85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87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3474A7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1855,2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457,2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966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927,6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278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927,6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38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 w:val="restar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 «</w:t>
            </w:r>
            <w:r w:rsidR="00BC1AC3"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итие системы общего образования»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801363,9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155644,7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163155,5</w:t>
            </w:r>
          </w:p>
        </w:tc>
        <w:tc>
          <w:tcPr>
            <w:tcW w:w="445" w:type="pct"/>
            <w:hideMark/>
          </w:tcPr>
          <w:p w:rsidR="00BC1AC3" w:rsidRPr="00F8556A" w:rsidRDefault="00696B27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176391,0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152534,6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153638,1</w:t>
            </w:r>
          </w:p>
        </w:tc>
      </w:tr>
      <w:tr w:rsidR="00F8556A" w:rsidRPr="00F8556A" w:rsidTr="00F8556A">
        <w:trPr>
          <w:trHeight w:val="123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59776,8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11688,7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11320,7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14490,3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11161,1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11116,0</w:t>
            </w:r>
          </w:p>
        </w:tc>
      </w:tr>
      <w:tr w:rsidR="00F8556A" w:rsidRPr="00F8556A" w:rsidTr="00F8556A">
        <w:trPr>
          <w:trHeight w:val="8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623067,3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114397,0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119972,4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136877,7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125335,8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126484,4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 т.ч. на проведение капитального и текущего ремонтов муниципальных 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108447,3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26909,0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28160,5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21302,4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16037,7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16037,7</w:t>
            </w:r>
          </w:p>
        </w:tc>
      </w:tr>
      <w:tr w:rsidR="00F8556A" w:rsidRPr="00F8556A" w:rsidTr="00F8556A">
        <w:trPr>
          <w:trHeight w:val="127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 т.ч. на проведение капитального и текущего ремонтов муниципальных 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10072,5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3701,9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3720,6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09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659564,9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133783,5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137504,3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135602,9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126337,1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126337,1</w:t>
            </w:r>
          </w:p>
        </w:tc>
      </w:tr>
      <w:tr w:rsidR="00F8556A" w:rsidRPr="00F8556A" w:rsidTr="00120AA1">
        <w:trPr>
          <w:trHeight w:val="105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задания (оплата труда, услуги связи,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бщеобразовательных</w:t>
            </w:r>
            <w:proofErr w:type="gram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0AA1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5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556394,4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108100,4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110956,4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111007,6</w:t>
            </w:r>
          </w:p>
        </w:tc>
      </w:tr>
      <w:tr w:rsidR="00F8556A" w:rsidRPr="00F8556A" w:rsidTr="00F8556A">
        <w:trPr>
          <w:trHeight w:val="112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88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103170,5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25683,1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26547,9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20280,5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15329,5</w:t>
            </w:r>
          </w:p>
        </w:tc>
      </w:tr>
      <w:tr w:rsidR="00F8556A" w:rsidRPr="00F8556A" w:rsidTr="00F8556A">
        <w:trPr>
          <w:trHeight w:val="109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2.2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18103,7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3816,1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5178,5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5560,1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1774,5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1774,5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питания </w:t>
            </w: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общеобразовательных организация,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7500,8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1044,7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1132,6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1774,5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1774,5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1774,5</w:t>
            </w:r>
          </w:p>
        </w:tc>
      </w:tr>
      <w:tr w:rsidR="00F8556A" w:rsidRPr="00F8556A" w:rsidTr="00F8556A">
        <w:trPr>
          <w:trHeight w:val="100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530,4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10072,5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3701,9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3720,6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6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3474A7" w:rsidP="003474A7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1908,5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708,2</w:t>
            </w:r>
          </w:p>
        </w:tc>
      </w:tr>
      <w:tr w:rsidR="00F8556A" w:rsidRPr="00F8556A" w:rsidTr="00120AA1">
        <w:trPr>
          <w:trHeight w:val="78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924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103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1908,5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708,2</w:t>
            </w:r>
          </w:p>
        </w:tc>
      </w:tr>
      <w:tr w:rsidR="00F8556A" w:rsidRPr="00F8556A" w:rsidTr="00120AA1">
        <w:trPr>
          <w:trHeight w:val="561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3474A7" w:rsidP="003474A7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29322,8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2662,8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12820,2</w:t>
            </w:r>
          </w:p>
        </w:tc>
      </w:tr>
      <w:tr w:rsidR="00F8556A" w:rsidRPr="00F8556A" w:rsidTr="00120AA1">
        <w:trPr>
          <w:trHeight w:val="90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 в целях в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ыполнения Федерального проекта «Современная школа»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29322,8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2662,8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12820,2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Обеспечение условий для создания центров образования цифрового 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гманитарного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профиля детей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2091,6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2272,0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3905,7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</w:tr>
      <w:tr w:rsidR="00F8556A" w:rsidRPr="00F8556A" w:rsidTr="00F8556A">
        <w:trPr>
          <w:trHeight w:val="120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61"/>
        </w:trPr>
        <w:tc>
          <w:tcPr>
            <w:tcW w:w="83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2.5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417,6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55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417,6</w:t>
            </w:r>
          </w:p>
        </w:tc>
      </w:tr>
      <w:tr w:rsidR="00F8556A" w:rsidRPr="00F8556A" w:rsidTr="00F8556A">
        <w:trPr>
          <w:trHeight w:val="88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51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03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2.6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120AA1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31485,9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7599,5</w:t>
            </w:r>
          </w:p>
        </w:tc>
      </w:tr>
      <w:tr w:rsidR="00F8556A" w:rsidRPr="00F8556A" w:rsidTr="00120AA1">
        <w:trPr>
          <w:trHeight w:val="91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31485,9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7599,5</w:t>
            </w:r>
          </w:p>
        </w:tc>
      </w:tr>
      <w:tr w:rsidR="00F8556A" w:rsidRPr="00F8556A" w:rsidTr="00F8556A">
        <w:trPr>
          <w:trHeight w:val="9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9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91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62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тие 2.7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120AA1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14921,2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3951,1</w:t>
            </w:r>
          </w:p>
        </w:tc>
      </w:tr>
      <w:tr w:rsidR="00F8556A" w:rsidRPr="00F8556A" w:rsidTr="00120AA1">
        <w:trPr>
          <w:trHeight w:val="63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13279,9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3035,4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3121,3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3561,6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3561,6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3516,5</w:t>
            </w:r>
          </w:p>
        </w:tc>
      </w:tr>
      <w:tr w:rsidR="00F8556A" w:rsidRPr="00F8556A" w:rsidTr="00F8556A">
        <w:trPr>
          <w:trHeight w:val="85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1641,3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375,1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385,8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440,2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440,2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434,6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17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400"/>
        </w:trPr>
        <w:tc>
          <w:tcPr>
            <w:tcW w:w="835" w:type="pct"/>
            <w:vMerge w:val="restar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2.8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120AA1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844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9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61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2.9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12009,5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3153,6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3638,6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5217,3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898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proofErr w:type="gram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текущего ремонтов муниципальных образовательных организациях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6307,2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3153,6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1576,8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1576,8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9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 т.ч. на проведение капитального и текущего ремонтов муниципальных образовательных 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9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278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на проведение капитального и текущего ремонтов муниципальных образовательных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496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62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2.10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5226,4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2028,0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1982,0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1216,4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9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91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2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31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внебюджетные источ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41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2.11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120AA1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2636,9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848,7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1018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советников директора по воспитанию и взаимодействию с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детскими объединениями в общеобразовательных организациях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2318,2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1752,4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8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38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2.12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120AA1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F8556A" w:rsidRPr="00F8556A" w:rsidTr="00120AA1">
        <w:trPr>
          <w:trHeight w:val="562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Компенсация стоимости горячего питания родителя</w:t>
            </w: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законным представителям) обучающимся по  образовательным программам начального общего образования на дому детей-инвалидов и детей, нуждающихся в длительном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лечении,которые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здоровья временно или постоянно не могут посещать 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организацию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F8556A" w:rsidRPr="00F8556A" w:rsidTr="00F8556A">
        <w:trPr>
          <w:trHeight w:val="8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88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6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2.13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84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школьной системы образования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2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25"/>
        </w:trPr>
        <w:tc>
          <w:tcPr>
            <w:tcW w:w="835" w:type="pct"/>
            <w:vMerge w:val="restar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 «</w:t>
            </w:r>
            <w:r w:rsidR="00BC1AC3"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29002,4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6130,7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8230,6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6987,9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3826,6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3826,6</w:t>
            </w:r>
          </w:p>
        </w:tc>
      </w:tr>
      <w:tr w:rsidR="00F8556A" w:rsidRPr="00F8556A" w:rsidTr="00F8556A">
        <w:trPr>
          <w:trHeight w:val="90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6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4591,9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1690,6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1899,0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51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90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сохранение достигнутых </w:t>
            </w: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3963,9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1382,6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F8556A">
        <w:trPr>
          <w:trHeight w:val="45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16757,3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5128,4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6540,0</w:t>
            </w:r>
          </w:p>
        </w:tc>
        <w:tc>
          <w:tcPr>
            <w:tcW w:w="44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5088,9</w:t>
            </w:r>
          </w:p>
        </w:tc>
        <w:tc>
          <w:tcPr>
            <w:tcW w:w="446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424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3826,6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6A" w:rsidRPr="00F8556A" w:rsidTr="00120AA1">
        <w:trPr>
          <w:trHeight w:val="75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495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17839,6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5783,9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6834,8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5220,9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2942,0</w:t>
            </w:r>
          </w:p>
        </w:tc>
      </w:tr>
      <w:tr w:rsidR="00F8556A" w:rsidRPr="00F8556A" w:rsidTr="00120AA1">
        <w:trPr>
          <w:trHeight w:val="112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прав граждан на получение общедоступного и бесплатного дополнительного образования в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организациях дополнительного образования детей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(оплата труда, услуги связи,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48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3963,9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1382,6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4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сохранение достигнутых </w:t>
            </w: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оплаты труда отдельных категорий работников бюджетной сферы</w:t>
            </w:r>
            <w:proofErr w:type="gram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3963,9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1382,6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8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13875,7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4781,6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5452,2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3641,9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2942,0</w:t>
            </w:r>
          </w:p>
        </w:tc>
      </w:tr>
      <w:tr w:rsidR="00F8556A" w:rsidRPr="00F8556A" w:rsidTr="00F8556A">
        <w:trPr>
          <w:trHeight w:val="8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за счет местного бюджета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62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6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120AA1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346,8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884,6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5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346,8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884,6</w:t>
            </w:r>
          </w:p>
        </w:tc>
      </w:tr>
      <w:tr w:rsidR="00F8556A" w:rsidRPr="00F8556A" w:rsidTr="00120AA1">
        <w:trPr>
          <w:trHeight w:val="527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79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120AA1" w:rsidP="00120AA1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1256,0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616,0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2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929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278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67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510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4 «Одаренные дети </w:t>
            </w:r>
            <w:proofErr w:type="spellStart"/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2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1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90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67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62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4.1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720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и муниципального этапов предметных олимпиад по математике, физике, химии, географии, биологии, экологии,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истории, экономике, обществознанию, русскому языку, литературе,  информатике, физкультуре, технологии, ОБЖ, иностранным языкам (разработка для школьного тура, тиражирование материалов для школьного и муниципального этапов предметных олимпиад; приобретение необходимых расходных материалов)</w:t>
            </w:r>
            <w:proofErr w:type="gramEnd"/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2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7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1830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51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4.2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общ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120AA1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120AA1">
        <w:trPr>
          <w:trHeight w:val="40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и поддержка одаренных детей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(победителей муниципальных, областных, всероссийских конкурсов, олимпиад, фести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валей, спортивных соревнований)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120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552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r w:rsidR="00120AA1">
              <w:rPr>
                <w:rFonts w:ascii="Times New Roman" w:hAnsi="Times New Roman" w:cs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603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4.3.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конкурсов (приобретени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е грамот, расходных материалов)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88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673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525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4.4.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40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педагогических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по результатам работы с одаренными детьми (приобретение дипломов, грамот, памятных подарков)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91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557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510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4.5.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мероприятия, посвященного вручению медалей, нагрудных знаков выпускникам (приобретение грамот, дипломов, памятных подарков, р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асходных материалов)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4.6.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обеспечение программы (создание баз данных, пополнение фото</w:t>
            </w:r>
            <w:proofErr w:type="gramEnd"/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390"/>
        </w:trPr>
        <w:tc>
          <w:tcPr>
            <w:tcW w:w="835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5 «Гражданско-патриотическое воспитание учащихся </w:t>
            </w:r>
            <w:proofErr w:type="spellStart"/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айского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5.1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3474A7" w:rsidP="003474A7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для учащихся </w:t>
            </w:r>
            <w:proofErr w:type="spellStart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направленных на 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 конкурсы, акции, экскурсии для учащихся общеобразовательных организаций   района.)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561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5.2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Организация гражданско-патр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иотического воспитания учащихся»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(ежегодная  акция 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благоустройству воинских захоронений и мемориалов "Никто не забыт, ничто не забыто», участие в районной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щественной акции «Марш Памяти»)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tcBorders>
              <w:bottom w:val="nil"/>
            </w:tcBorders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5.3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3474A7">
        <w:trPr>
          <w:trHeight w:val="765"/>
        </w:trPr>
        <w:tc>
          <w:tcPr>
            <w:tcW w:w="835" w:type="pct"/>
            <w:vMerge w:val="restart"/>
            <w:tcBorders>
              <w:top w:val="nil"/>
            </w:tcBorders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ориентация и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учащихся к военной службе»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(военно-патриотические игры, Спартакиады, соревнования по техническим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военно-прикладным видам спорта)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тайского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5.4</w:t>
            </w:r>
          </w:p>
        </w:tc>
        <w:tc>
          <w:tcPr>
            <w:tcW w:w="712" w:type="pct"/>
            <w:vMerge w:val="restar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F8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района, общеобразовательные организации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 w:val="restar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C1AC3" w:rsidRPr="00F8556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конкурсов в сфере гражданско-патриотического и военно-патриотического воспитания» (проведение районных конкурсов, смотры-конкурсы, конкурс исследовательских краеведческих работ)</w:t>
            </w: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1140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Балт</w:t>
            </w:r>
            <w:r w:rsidR="003474A7">
              <w:rPr>
                <w:rFonts w:ascii="Times New Roman" w:hAnsi="Times New Roman" w:cs="Times New Roman"/>
                <w:sz w:val="28"/>
                <w:szCs w:val="28"/>
              </w:rPr>
              <w:t>айского</w:t>
            </w:r>
            <w:proofErr w:type="spellEnd"/>
            <w:r w:rsidR="003474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556A" w:rsidRPr="00F8556A" w:rsidTr="00F8556A">
        <w:trPr>
          <w:trHeight w:val="765"/>
        </w:trPr>
        <w:tc>
          <w:tcPr>
            <w:tcW w:w="835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hideMark/>
          </w:tcPr>
          <w:p w:rsidR="00BC1AC3" w:rsidRPr="00F8556A" w:rsidRDefault="003474A7" w:rsidP="00F8556A">
            <w:pPr>
              <w:tabs>
                <w:tab w:val="left" w:pos="59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3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5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hideMark/>
          </w:tcPr>
          <w:p w:rsidR="00BC1AC3" w:rsidRPr="00F8556A" w:rsidRDefault="00BC1AC3" w:rsidP="00F8556A">
            <w:pPr>
              <w:tabs>
                <w:tab w:val="left" w:pos="592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81B3F" w:rsidRDefault="00C81B3F" w:rsidP="00C81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B3F" w:rsidRDefault="00C81B3F" w:rsidP="00C81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B3F" w:rsidRDefault="00C81B3F" w:rsidP="00C81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B3F" w:rsidRPr="007F17C1" w:rsidRDefault="00C81B3F" w:rsidP="00C81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7C1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C81B3F" w:rsidRPr="007F17C1" w:rsidRDefault="00C81B3F" w:rsidP="00C81B3F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7F17C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F17C1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C81B3F" w:rsidRPr="00451AFD" w:rsidRDefault="00C81B3F" w:rsidP="00C81B3F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А.В.Паксютова</w:t>
      </w:r>
      <w:proofErr w:type="spellEnd"/>
    </w:p>
    <w:sectPr w:rsidR="00C81B3F" w:rsidRPr="00451AFD" w:rsidSect="00F8556A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DE" w:rsidRDefault="00991BDE" w:rsidP="00FB3629">
      <w:pPr>
        <w:spacing w:after="0" w:line="240" w:lineRule="auto"/>
      </w:pPr>
      <w:r>
        <w:separator/>
      </w:r>
    </w:p>
  </w:endnote>
  <w:endnote w:type="continuationSeparator" w:id="0">
    <w:p w:rsidR="00991BDE" w:rsidRDefault="00991BDE" w:rsidP="00FB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DE" w:rsidRDefault="00991BDE" w:rsidP="00FB3629">
      <w:pPr>
        <w:spacing w:after="0" w:line="240" w:lineRule="auto"/>
      </w:pPr>
      <w:r>
        <w:separator/>
      </w:r>
    </w:p>
  </w:footnote>
  <w:footnote w:type="continuationSeparator" w:id="0">
    <w:p w:rsidR="00991BDE" w:rsidRDefault="00991BDE" w:rsidP="00FB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2704"/>
      <w:docPartObj>
        <w:docPartGallery w:val="Page Numbers (Top of Page)"/>
        <w:docPartUnique/>
      </w:docPartObj>
    </w:sdtPr>
    <w:sdtContent>
      <w:p w:rsidR="00120AA1" w:rsidRDefault="00120AA1" w:rsidP="00C81B3F">
        <w:pPr>
          <w:pStyle w:val="ab"/>
          <w:jc w:val="center"/>
        </w:pPr>
        <w:r w:rsidRPr="00C81B3F">
          <w:rPr>
            <w:rFonts w:ascii="Times New Roman" w:hAnsi="Times New Roman" w:cs="Times New Roman"/>
          </w:rPr>
          <w:fldChar w:fldCharType="begin"/>
        </w:r>
        <w:r w:rsidRPr="00C81B3F">
          <w:rPr>
            <w:rFonts w:ascii="Times New Roman" w:hAnsi="Times New Roman" w:cs="Times New Roman"/>
          </w:rPr>
          <w:instrText xml:space="preserve"> PAGE   \* MERGEFORMAT </w:instrText>
        </w:r>
        <w:r w:rsidRPr="00C81B3F">
          <w:rPr>
            <w:rFonts w:ascii="Times New Roman" w:hAnsi="Times New Roman" w:cs="Times New Roman"/>
          </w:rPr>
          <w:fldChar w:fldCharType="separate"/>
        </w:r>
        <w:r w:rsidR="003474A7">
          <w:rPr>
            <w:rFonts w:ascii="Times New Roman" w:hAnsi="Times New Roman" w:cs="Times New Roman"/>
            <w:noProof/>
          </w:rPr>
          <w:t>7</w:t>
        </w:r>
        <w:r w:rsidRPr="00C81B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6E8"/>
    <w:multiLevelType w:val="hybridMultilevel"/>
    <w:tmpl w:val="E0CC77BC"/>
    <w:lvl w:ilvl="0" w:tplc="05F6E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A3472"/>
    <w:multiLevelType w:val="multilevel"/>
    <w:tmpl w:val="7E727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71A05DE2"/>
    <w:multiLevelType w:val="multilevel"/>
    <w:tmpl w:val="E10C48D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cs="Times New Roman" w:hint="default"/>
        <w:sz w:val="28"/>
      </w:rPr>
    </w:lvl>
  </w:abstractNum>
  <w:abstractNum w:abstractNumId="3">
    <w:nsid w:val="71DA7E90"/>
    <w:multiLevelType w:val="multilevel"/>
    <w:tmpl w:val="566AA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84002B3"/>
    <w:multiLevelType w:val="hybridMultilevel"/>
    <w:tmpl w:val="2B244A00"/>
    <w:lvl w:ilvl="0" w:tplc="E4343FA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C76"/>
    <w:rsid w:val="00010974"/>
    <w:rsid w:val="00076411"/>
    <w:rsid w:val="00120AA1"/>
    <w:rsid w:val="00224108"/>
    <w:rsid w:val="0024227D"/>
    <w:rsid w:val="002702A7"/>
    <w:rsid w:val="00295A62"/>
    <w:rsid w:val="00310E2C"/>
    <w:rsid w:val="003474A7"/>
    <w:rsid w:val="003F7F97"/>
    <w:rsid w:val="00461D5B"/>
    <w:rsid w:val="00492749"/>
    <w:rsid w:val="004A5C76"/>
    <w:rsid w:val="0051096E"/>
    <w:rsid w:val="00536AE1"/>
    <w:rsid w:val="00682144"/>
    <w:rsid w:val="00696B27"/>
    <w:rsid w:val="0076636F"/>
    <w:rsid w:val="008267F7"/>
    <w:rsid w:val="00862F4A"/>
    <w:rsid w:val="008970DD"/>
    <w:rsid w:val="009762D3"/>
    <w:rsid w:val="00991BDE"/>
    <w:rsid w:val="009D2500"/>
    <w:rsid w:val="00B11877"/>
    <w:rsid w:val="00B826E8"/>
    <w:rsid w:val="00BA0607"/>
    <w:rsid w:val="00BC1163"/>
    <w:rsid w:val="00BC1AC3"/>
    <w:rsid w:val="00C44A28"/>
    <w:rsid w:val="00C81B3F"/>
    <w:rsid w:val="00CA3FC8"/>
    <w:rsid w:val="00D837AC"/>
    <w:rsid w:val="00EC30C9"/>
    <w:rsid w:val="00EF7444"/>
    <w:rsid w:val="00F13BE6"/>
    <w:rsid w:val="00F8556A"/>
    <w:rsid w:val="00FB3629"/>
    <w:rsid w:val="00FB76C5"/>
    <w:rsid w:val="00F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2C"/>
    <w:pPr>
      <w:ind w:left="720"/>
      <w:contextualSpacing/>
    </w:pPr>
  </w:style>
  <w:style w:type="paragraph" w:customStyle="1" w:styleId="ConsPlusNormal">
    <w:name w:val="ConsPlusNormal"/>
    <w:rsid w:val="00461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rsid w:val="0051096E"/>
    <w:rPr>
      <w:sz w:val="16"/>
      <w:szCs w:val="16"/>
    </w:rPr>
  </w:style>
  <w:style w:type="paragraph" w:styleId="a5">
    <w:name w:val="annotation text"/>
    <w:basedOn w:val="a"/>
    <w:link w:val="a6"/>
    <w:rsid w:val="0051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1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FB3629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FB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629"/>
  </w:style>
  <w:style w:type="paragraph" w:styleId="ad">
    <w:name w:val="footer"/>
    <w:basedOn w:val="a"/>
    <w:link w:val="ae"/>
    <w:uiPriority w:val="99"/>
    <w:unhideWhenUsed/>
    <w:rsid w:val="00FB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629"/>
  </w:style>
  <w:style w:type="paragraph" w:customStyle="1" w:styleId="Standard">
    <w:name w:val="Standard"/>
    <w:rsid w:val="0027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2C"/>
    <w:pPr>
      <w:ind w:left="720"/>
      <w:contextualSpacing/>
    </w:pPr>
  </w:style>
  <w:style w:type="paragraph" w:customStyle="1" w:styleId="ConsPlusNormal">
    <w:name w:val="ConsPlusNormal"/>
    <w:rsid w:val="00461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rsid w:val="0051096E"/>
    <w:rPr>
      <w:sz w:val="16"/>
      <w:szCs w:val="16"/>
    </w:rPr>
  </w:style>
  <w:style w:type="paragraph" w:styleId="a5">
    <w:name w:val="annotation text"/>
    <w:basedOn w:val="a"/>
    <w:link w:val="a6"/>
    <w:rsid w:val="0051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1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FB3629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FB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629"/>
  </w:style>
  <w:style w:type="paragraph" w:styleId="ad">
    <w:name w:val="footer"/>
    <w:basedOn w:val="a"/>
    <w:link w:val="ae"/>
    <w:uiPriority w:val="99"/>
    <w:unhideWhenUsed/>
    <w:rsid w:val="00FB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6957-9F0A-4E22-95FA-B37C08FD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2023-06-14T11:41:00Z</cp:lastPrinted>
  <dcterms:created xsi:type="dcterms:W3CDTF">2023-06-05T07:18:00Z</dcterms:created>
  <dcterms:modified xsi:type="dcterms:W3CDTF">2023-06-14T11:43:00Z</dcterms:modified>
</cp:coreProperties>
</file>