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/>
    </w:p>
    <w:p>
      <w:pPr>
        <w:pStyle w:val="6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3"/>
      </w:pPr>
      <w:r>
        <w:t xml:space="preserve">1</w:t>
      </w:r>
      <w:r>
        <w:t xml:space="preserve">4.04.202</w:t>
      </w:r>
      <w:r>
        <w:t xml:space="preserve">3</w:t>
      </w:r>
      <w:r/>
    </w:p>
    <w:p>
      <w:pPr>
        <w:pStyle w:val="643"/>
        <w:ind w:firstLine="684"/>
        <w:jc w:val="both"/>
        <w:spacing w:before="100" w:beforeAutospacing="1" w:after="17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В соответствии со статьей 264.4 Бюджетного кодекса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основании плана работы на 2023</w:t>
      </w:r>
      <w:r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Контрольно-счётной комиссией Балтайского муниципального района подготовлено заключение на годовой отчёт об исполнении местного бюджета Балтайского муниципального района </w:t>
      </w:r>
      <w:r>
        <w:rPr>
          <w:sz w:val="28"/>
          <w:szCs w:val="28"/>
        </w:rPr>
        <w:t xml:space="preserve">за 2022</w:t>
      </w:r>
      <w:r>
        <w:rPr>
          <w:sz w:val="28"/>
          <w:szCs w:val="28"/>
        </w:rPr>
        <w:t xml:space="preserve"> год.</w:t>
      </w:r>
      <w:r/>
    </w:p>
    <w:p>
      <w:pPr>
        <w:pStyle w:val="643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установлено:</w:t>
      </w:r>
      <w:r/>
    </w:p>
    <w:p>
      <w:pPr>
        <w:pStyle w:val="653"/>
        <w:ind w:firstLine="741"/>
        <w:jc w:val="both"/>
        <w:widowControl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Бюджет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муниципального района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  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 по доходам в сумме 357539,1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тыс. руб., по расходам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357175,3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профицитом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363,8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</w:t>
      </w:r>
      <w:bookmarkStart w:id="0" w:name="undefine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643"/>
        <w:ind w:firstLine="720"/>
        <w:jc w:val="both"/>
      </w:pPr>
      <w:r>
        <w:rPr>
          <w:color w:val="000000" w:themeColor="text1"/>
        </w:rPr>
      </w:r>
      <w:bookmarkEnd w:id="0"/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.  </w:t>
      </w:r>
      <w:r>
        <w:rPr>
          <w:color w:val="000000" w:themeColor="text1"/>
          <w:sz w:val="28"/>
          <w:szCs w:val="28"/>
        </w:rPr>
        <w:t xml:space="preserve">В структуре доходов местного бюджета </w:t>
      </w:r>
      <w:r>
        <w:rPr>
          <w:color w:val="000000" w:themeColor="text1"/>
          <w:sz w:val="28"/>
          <w:szCs w:val="28"/>
        </w:rPr>
        <w:t xml:space="preserve">наиболее</w:t>
      </w:r>
      <w:r>
        <w:rPr>
          <w:color w:val="000000" w:themeColor="text1"/>
          <w:sz w:val="28"/>
          <w:szCs w:val="28"/>
        </w:rPr>
        <w:t xml:space="preserve"> значимым источником являются безвозмездные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оступления </w:t>
      </w: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84,0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%.</w:t>
      </w:r>
      <w:r>
        <w:rPr>
          <w:color w:val="000000" w:themeColor="text1"/>
          <w:sz w:val="28"/>
          <w:szCs w:val="28"/>
        </w:rPr>
      </w:r>
      <w:r/>
    </w:p>
    <w:p>
      <w:pPr>
        <w:pStyle w:val="643"/>
        <w:ind w:firstLine="720"/>
        <w:jc w:val="both"/>
      </w:pPr>
      <w:r>
        <w:rPr>
          <w:color w:val="000000" w:themeColor="text1"/>
          <w:sz w:val="28"/>
          <w:szCs w:val="28"/>
        </w:rPr>
        <w:t xml:space="preserve">Структура расходов местного бюджета имеет </w:t>
      </w:r>
      <w:r>
        <w:rPr>
          <w:color w:val="000000" w:themeColor="text1"/>
          <w:sz w:val="28"/>
          <w:szCs w:val="28"/>
        </w:rPr>
        <w:t xml:space="preserve">социальную направленность. </w:t>
      </w:r>
      <w:r>
        <w:rPr>
          <w:color w:val="000000" w:themeColor="text1"/>
          <w:sz w:val="28"/>
          <w:szCs w:val="28"/>
        </w:rPr>
        <w:t xml:space="preserve">На финансирование </w:t>
      </w:r>
      <w:r>
        <w:rPr>
          <w:color w:val="000000" w:themeColor="text1"/>
          <w:sz w:val="28"/>
          <w:szCs w:val="28"/>
        </w:rPr>
        <w:t xml:space="preserve">отрасле</w:t>
      </w:r>
      <w:r>
        <w:rPr>
          <w:color w:val="000000" w:themeColor="text1"/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 xml:space="preserve">э</w:t>
      </w:r>
      <w:r>
        <w:rPr>
          <w:color w:val="000000" w:themeColor="text1"/>
          <w:sz w:val="28"/>
          <w:szCs w:val="28"/>
        </w:rPr>
        <w:t xml:space="preserve">той сферы </w:t>
      </w:r>
      <w:bookmarkStart w:id="0" w:name="undefined"/>
      <w:r>
        <w:rPr>
          <w:color w:val="000000" w:themeColor="text1"/>
          <w:sz w:val="28"/>
          <w:szCs w:val="28"/>
        </w:rPr>
        <w:t xml:space="preserve">направлено </w:t>
      </w:r>
      <w:r>
        <w:rPr>
          <w:color w:val="000000" w:themeColor="text1"/>
          <w:sz w:val="28"/>
          <w:szCs w:val="28"/>
        </w:rPr>
        <w:t xml:space="preserve">79,4</w:t>
      </w:r>
      <w:r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t xml:space="preserve">от общих расходов </w:t>
      </w:r>
      <w:r>
        <w:rPr>
          <w:color w:val="000000" w:themeColor="text1"/>
          <w:sz w:val="28"/>
          <w:szCs w:val="28"/>
        </w:rPr>
        <w:t xml:space="preserve">бюджета.</w:t>
      </w:r>
      <w:r>
        <w:rPr>
          <w:color w:val="000000" w:themeColor="text1"/>
          <w:sz w:val="28"/>
          <w:szCs w:val="28"/>
        </w:rPr>
      </w:r>
      <w:r/>
    </w:p>
    <w:p>
      <w:pPr>
        <w:pStyle w:val="643"/>
        <w:ind w:firstLine="720"/>
        <w:jc w:val="both"/>
      </w:pP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. </w:t>
      </w:r>
      <w:r>
        <w:rPr>
          <w:color w:val="000000" w:themeColor="text1"/>
          <w:sz w:val="28"/>
          <w:szCs w:val="28"/>
        </w:rPr>
        <w:t xml:space="preserve">По со</w:t>
      </w:r>
      <w:r>
        <w:rPr>
          <w:color w:val="000000" w:themeColor="text1"/>
          <w:sz w:val="28"/>
          <w:szCs w:val="28"/>
        </w:rPr>
        <w:t xml:space="preserve">стоянию на 01.01.2023</w:t>
      </w:r>
      <w:r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 xml:space="preserve">униципальный долг составил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74</w:t>
      </w:r>
      <w:r>
        <w:rPr>
          <w:color w:val="000000" w:themeColor="text1"/>
          <w:sz w:val="28"/>
          <w:szCs w:val="28"/>
        </w:rPr>
        <w:t xml:space="preserve">33,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 тыс. руб.</w:t>
      </w:r>
      <w:r>
        <w:rPr>
          <w:color w:val="000000" w:themeColor="text1"/>
          <w:sz w:val="28"/>
          <w:szCs w:val="28"/>
        </w:rPr>
      </w:r>
      <w:r/>
    </w:p>
    <w:p>
      <w:pPr>
        <w:pStyle w:val="643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</w:t>
      </w:r>
      <w:r>
        <w:rPr>
          <w:color w:val="000000" w:themeColor="text1"/>
          <w:sz w:val="28"/>
          <w:szCs w:val="28"/>
        </w:rPr>
        <w:t xml:space="preserve">. </w:t>
      </w:r>
      <w:r>
        <w:rPr>
          <w:color w:val="000000" w:themeColor="text1"/>
          <w:sz w:val="28"/>
          <w:szCs w:val="28"/>
        </w:rPr>
        <w:t xml:space="preserve">Параметры </w:t>
      </w:r>
      <w:r>
        <w:rPr>
          <w:color w:val="000000" w:themeColor="text1"/>
          <w:sz w:val="28"/>
          <w:szCs w:val="28"/>
        </w:rPr>
        <w:t xml:space="preserve">объема муниципального </w:t>
      </w:r>
      <w:r>
        <w:rPr>
          <w:color w:val="000000" w:themeColor="text1"/>
          <w:sz w:val="28"/>
          <w:szCs w:val="28"/>
        </w:rPr>
        <w:t xml:space="preserve">долга, расходов на его обслуживание, объема муниципальных заимствований</w:t>
      </w:r>
      <w:r>
        <w:rPr>
          <w:color w:val="000000" w:themeColor="text1"/>
          <w:sz w:val="28"/>
          <w:szCs w:val="28"/>
        </w:rPr>
        <w:t xml:space="preserve"> соответствуют нормам Бюджетного кодекса Р</w:t>
      </w:r>
      <w:r>
        <w:rPr>
          <w:color w:val="000000" w:themeColor="text1"/>
          <w:sz w:val="28"/>
          <w:szCs w:val="28"/>
        </w:rPr>
        <w:t xml:space="preserve">оссийской </w:t>
      </w: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едерации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  <w:r/>
    </w:p>
    <w:p>
      <w:pPr>
        <w:pStyle w:val="64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19" w:right="113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9"/>
      <w:rPr>
        <w:rStyle w:val="650"/>
        <w:color w:val="999999"/>
      </w:rPr>
      <w:framePr w:wrap="around" w:vAnchor="text" w:hAnchor="margin" w:xAlign="right" w:y="1"/>
    </w:pPr>
    <w:r>
      <w:rPr>
        <w:rStyle w:val="650"/>
        <w:color w:val="999999"/>
      </w:rPr>
      <w:fldChar w:fldCharType="begin"/>
    </w:r>
    <w:r>
      <w:rPr>
        <w:rStyle w:val="650"/>
        <w:color w:val="999999"/>
      </w:rPr>
      <w:instrText xml:space="preserve">PAGE  </w:instrText>
    </w:r>
    <w:r>
      <w:rPr>
        <w:rStyle w:val="650"/>
        <w:color w:val="999999"/>
      </w:rPr>
      <w:fldChar w:fldCharType="separate"/>
    </w:r>
    <w:r>
      <w:rPr>
        <w:rStyle w:val="650"/>
        <w:color w:val="999999"/>
      </w:rPr>
      <w:t xml:space="preserve">1</w:t>
    </w:r>
    <w:r>
      <w:rPr>
        <w:rStyle w:val="650"/>
        <w:color w:val="999999"/>
      </w:rPr>
      <w:fldChar w:fldCharType="end"/>
    </w:r>
    <w:r>
      <w:rPr>
        <w:rStyle w:val="650"/>
        <w:color w:val="999999"/>
      </w:rPr>
    </w:r>
    <w:r/>
  </w:p>
  <w:p>
    <w:pPr>
      <w:pStyle w:val="64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9"/>
      <w:rPr>
        <w:rStyle w:val="650"/>
      </w:rPr>
      <w:framePr w:wrap="around" w:vAnchor="text" w:hAnchor="margin" w:xAlign="right" w:y="1"/>
    </w:pPr>
    <w:r>
      <w:rPr>
        <w:rStyle w:val="650"/>
      </w:rPr>
      <w:fldChar w:fldCharType="begin"/>
    </w:r>
    <w:r>
      <w:rPr>
        <w:rStyle w:val="650"/>
      </w:rPr>
      <w:instrText xml:space="preserve">PAGE  </w:instrText>
    </w:r>
    <w:r>
      <w:rPr>
        <w:rStyle w:val="650"/>
      </w:rPr>
      <w:fldChar w:fldCharType="end"/>
    </w:r>
    <w:r>
      <w:rPr>
        <w:rStyle w:val="650"/>
      </w:rPr>
    </w:r>
    <w:r/>
  </w:p>
  <w:p>
    <w:pPr>
      <w:pStyle w:val="64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43"/>
        <w:ind w:left="420" w:hanging="360"/>
        <w:tabs>
          <w:tab w:val="num" w:pos="4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140" w:hanging="360"/>
        <w:tabs>
          <w:tab w:val="num" w:pos="11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1860" w:hanging="18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580" w:hanging="360"/>
        <w:tabs>
          <w:tab w:val="num" w:pos="25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300" w:hanging="360"/>
        <w:tabs>
          <w:tab w:val="num" w:pos="33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020" w:hanging="180"/>
        <w:tabs>
          <w:tab w:val="num" w:pos="40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4740" w:hanging="360"/>
        <w:tabs>
          <w:tab w:val="num" w:pos="47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460" w:hanging="360"/>
        <w:tabs>
          <w:tab w:val="num" w:pos="54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180" w:hanging="180"/>
        <w:tabs>
          <w:tab w:val="num" w:pos="618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43"/>
        <w:ind w:left="303" w:hanging="360"/>
        <w:tabs>
          <w:tab w:val="num" w:pos="30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023" w:hanging="360"/>
        <w:tabs>
          <w:tab w:val="num" w:pos="102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1743" w:hanging="180"/>
        <w:tabs>
          <w:tab w:val="num" w:pos="174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463" w:hanging="360"/>
        <w:tabs>
          <w:tab w:val="num" w:pos="246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183" w:hanging="360"/>
        <w:tabs>
          <w:tab w:val="num" w:pos="318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3903" w:hanging="180"/>
        <w:tabs>
          <w:tab w:val="num" w:pos="390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4623" w:hanging="360"/>
        <w:tabs>
          <w:tab w:val="num" w:pos="462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343" w:hanging="360"/>
        <w:tabs>
          <w:tab w:val="num" w:pos="534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063" w:hanging="180"/>
        <w:tabs>
          <w:tab w:val="num" w:pos="6063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43"/>
        <w:ind w:left="303" w:hanging="360"/>
        <w:tabs>
          <w:tab w:val="num" w:pos="30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023" w:hanging="360"/>
        <w:tabs>
          <w:tab w:val="num" w:pos="102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1743" w:hanging="180"/>
        <w:tabs>
          <w:tab w:val="num" w:pos="174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463" w:hanging="360"/>
        <w:tabs>
          <w:tab w:val="num" w:pos="246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183" w:hanging="360"/>
        <w:tabs>
          <w:tab w:val="num" w:pos="318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3903" w:hanging="180"/>
        <w:tabs>
          <w:tab w:val="num" w:pos="390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4623" w:hanging="360"/>
        <w:tabs>
          <w:tab w:val="num" w:pos="462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343" w:hanging="360"/>
        <w:tabs>
          <w:tab w:val="num" w:pos="534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063" w:hanging="180"/>
        <w:tabs>
          <w:tab w:val="num" w:pos="6063" w:leader="none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3"/>
    <w:next w:val="64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3"/>
    <w:next w:val="64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3"/>
    <w:next w:val="64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3"/>
    <w:next w:val="64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3"/>
    <w:next w:val="64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3"/>
    <w:next w:val="64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3"/>
    <w:next w:val="64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3"/>
    <w:next w:val="64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3"/>
    <w:next w:val="64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3"/>
    <w:next w:val="6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3"/>
    <w:next w:val="6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3"/>
    <w:next w:val="6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3"/>
    <w:next w:val="6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3"/>
    <w:next w:val="6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next w:val="643"/>
    <w:link w:val="643"/>
    <w:qFormat/>
    <w:rPr>
      <w:sz w:val="24"/>
      <w:szCs w:val="24"/>
      <w:lang w:val="ru-RU" w:eastAsia="ru-RU" w:bidi="ar-SA"/>
    </w:rPr>
  </w:style>
  <w:style w:type="character" w:styleId="644">
    <w:name w:val="Основной шрифт абзаца"/>
    <w:next w:val="644"/>
    <w:link w:val="643"/>
    <w:semiHidden/>
  </w:style>
  <w:style w:type="table" w:styleId="645">
    <w:name w:val="Обычная таблица"/>
    <w:next w:val="645"/>
    <w:link w:val="643"/>
    <w:semiHidden/>
    <w:tblPr/>
  </w:style>
  <w:style w:type="numbering" w:styleId="646">
    <w:name w:val="Нет списка"/>
    <w:next w:val="646"/>
    <w:link w:val="643"/>
    <w:semiHidden/>
  </w:style>
  <w:style w:type="paragraph" w:styleId="647">
    <w:name w:val="ConsNormal"/>
    <w:next w:val="647"/>
    <w:link w:val="643"/>
    <w:pPr>
      <w:ind w:right="19772" w:firstLine="720"/>
      <w:widowControl w:val="off"/>
    </w:pPr>
    <w:rPr>
      <w:rFonts w:ascii="Arial" w:hAnsi="Arial" w:cs="Arial"/>
      <w:lang w:val="ru-RU" w:eastAsia="en-US" w:bidi="ar-SA"/>
    </w:rPr>
  </w:style>
  <w:style w:type="table" w:styleId="648">
    <w:name w:val="Сетка таблицы"/>
    <w:basedOn w:val="645"/>
    <w:next w:val="648"/>
    <w:link w:val="643"/>
    <w:tblPr/>
  </w:style>
  <w:style w:type="paragraph" w:styleId="649">
    <w:name w:val="Нижний колонтитул"/>
    <w:basedOn w:val="643"/>
    <w:next w:val="649"/>
    <w:link w:val="643"/>
    <w:pPr>
      <w:tabs>
        <w:tab w:val="center" w:pos="4677" w:leader="none"/>
        <w:tab w:val="right" w:pos="9355" w:leader="none"/>
      </w:tabs>
    </w:pPr>
  </w:style>
  <w:style w:type="character" w:styleId="650">
    <w:name w:val="Номер страницы"/>
    <w:basedOn w:val="644"/>
    <w:next w:val="650"/>
    <w:link w:val="643"/>
  </w:style>
  <w:style w:type="paragraph" w:styleId="651">
    <w:name w:val="Верхний колонтитул"/>
    <w:basedOn w:val="643"/>
    <w:next w:val="651"/>
    <w:link w:val="643"/>
    <w:pPr>
      <w:tabs>
        <w:tab w:val="center" w:pos="4677" w:leader="none"/>
        <w:tab w:val="right" w:pos="9355" w:leader="none"/>
      </w:tabs>
    </w:pPr>
  </w:style>
  <w:style w:type="paragraph" w:styleId="652">
    <w:name w:val="Схема документа"/>
    <w:basedOn w:val="643"/>
    <w:next w:val="652"/>
    <w:link w:val="643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653">
    <w:name w:val="ConsPlusNormal"/>
    <w:next w:val="653"/>
    <w:link w:val="64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731" w:default="1">
    <w:name w:val="Default Paragraph Font"/>
    <w:uiPriority w:val="1"/>
    <w:semiHidden/>
    <w:unhideWhenUsed/>
  </w:style>
  <w:style w:type="numbering" w:styleId="732" w:default="1">
    <w:name w:val="No List"/>
    <w:uiPriority w:val="99"/>
    <w:semiHidden/>
    <w:unhideWhenUsed/>
  </w:style>
  <w:style w:type="table" w:styleId="7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KBAHT SysCD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revision>1487</cp:revision>
  <dcterms:created xsi:type="dcterms:W3CDTF">2008-04-16T05:04:00Z</dcterms:created>
  <dcterms:modified xsi:type="dcterms:W3CDTF">2023-05-03T12:02:23Z</dcterms:modified>
  <cp:version>786432</cp:version>
</cp:coreProperties>
</file>