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</w:t>
      </w:r>
      <w:r/>
    </w:p>
    <w:p>
      <w:pPr>
        <w:pStyle w:val="63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деятельности Контрольно-счётной комиссии Балтайского муниципального района</w:t>
      </w:r>
      <w:r/>
    </w:p>
    <w:p>
      <w:pPr>
        <w:pStyle w:val="63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7"/>
        <w:jc w:val="both"/>
      </w:pPr>
      <w:r>
        <w:t xml:space="preserve">14</w:t>
      </w:r>
      <w:r>
        <w:t xml:space="preserve">.04.202</w:t>
      </w:r>
      <w:r>
        <w:t xml:space="preserve">3</w:t>
      </w:r>
      <w:r/>
    </w:p>
    <w:p>
      <w:pPr>
        <w:pStyle w:val="637"/>
        <w:jc w:val="both"/>
      </w:pPr>
      <w:r/>
      <w:r/>
    </w:p>
    <w:p>
      <w:pPr>
        <w:pStyle w:val="63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bookmarkStart w:id="0" w:name="_Hlk7441830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264.4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 </w:t>
      </w:r>
      <w:r>
        <w:rPr>
          <w:color w:val="000000"/>
          <w:sz w:val="28"/>
          <w:szCs w:val="28"/>
        </w:rPr>
        <w:t xml:space="preserve">на основании плана работы на 202</w:t>
      </w:r>
      <w:r>
        <w:rPr>
          <w:color w:val="000000"/>
          <w:sz w:val="28"/>
          <w:szCs w:val="28"/>
        </w:rPr>
        <w:t xml:space="preserve">3 год </w:t>
      </w:r>
      <w:r>
        <w:rPr>
          <w:sz w:val="28"/>
          <w:szCs w:val="28"/>
        </w:rPr>
        <w:t xml:space="preserve">Контрольно-счётной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Балтайского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Барнуковского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2 год.</w:t>
      </w:r>
      <w:r/>
    </w:p>
    <w:p>
      <w:pPr>
        <w:pStyle w:val="63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установлено:</w:t>
      </w:r>
      <w:r/>
    </w:p>
    <w:p>
      <w:pPr>
        <w:pStyle w:val="637"/>
        <w:ind w:left="0" w:right="0" w:firstLine="720"/>
        <w:jc w:val="both"/>
      </w:pPr>
      <w:r>
        <w:rPr>
          <w:rFonts w:cs="Times New Roman"/>
          <w:color w:val="000000"/>
          <w:sz w:val="28"/>
          <w:szCs w:val="28"/>
        </w:rPr>
        <w:t xml:space="preserve">1. Бюджет Барнуковского муниципального образования за 2022 год исполнен по доходам в сумме 11365,7  тыс. руб., по расходам –                  </w:t>
      </w:r>
      <w:r>
        <w:rPr>
          <w:rFonts w:eastAsia="SimSun" w:cs="Times New Roman"/>
          <w:b w:val="0"/>
          <w:bCs w:val="0"/>
          <w:color w:val="000000"/>
          <w:sz w:val="28"/>
          <w:szCs w:val="28"/>
          <w:lang w:eastAsia="en-US" w:bidi="en-US"/>
        </w:rPr>
        <w:t xml:space="preserve">10865,8</w:t>
      </w:r>
      <w:r>
        <w:rPr>
          <w:rFonts w:cs="Times New Roman"/>
          <w:color w:val="000000"/>
          <w:sz w:val="28"/>
          <w:szCs w:val="28"/>
        </w:rPr>
        <w:t xml:space="preserve"> тыс. руб., с профицитом бюджета в размере 499,9 тыс. руб. </w:t>
      </w:r>
      <w:r/>
      <w:r/>
    </w:p>
    <w:p>
      <w:pPr>
        <w:pStyle w:val="637"/>
        <w:ind w:left="0" w:right="0" w:firstLine="720"/>
        <w:jc w:val="both"/>
      </w:pPr>
      <w:r>
        <w:rPr>
          <w:rFonts w:cs="Times New Roman"/>
          <w:color w:val="000000"/>
          <w:sz w:val="28"/>
          <w:szCs w:val="28"/>
        </w:rPr>
        <w:t xml:space="preserve">2. В структуре доходов бюджета налоговые и неналоговые доходы составляют 50,9 %, безвозмездные поступления – 49,1 %.</w:t>
      </w:r>
      <w:r/>
      <w:r/>
    </w:p>
    <w:p>
      <w:pPr>
        <w:pStyle w:val="637"/>
        <w:ind w:left="0" w:right="0" w:firstLine="720"/>
        <w:jc w:val="both"/>
      </w:pPr>
      <w:r>
        <w:rPr>
          <w:rFonts w:cs="Times New Roman"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В структуре расходов бюджета </w:t>
      </w:r>
      <w:r>
        <w:rPr>
          <w:color w:val="000000"/>
          <w:sz w:val="28"/>
          <w:szCs w:val="28"/>
        </w:rPr>
        <w:t xml:space="preserve">наибольшая доля приходится на отрасли обеспечивающие жизнедеятельность муниципального образования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73,2 %.</w:t>
      </w:r>
      <w:r/>
      <w:r/>
    </w:p>
    <w:p>
      <w:pPr>
        <w:pStyle w:val="637"/>
        <w:ind w:left="0" w:right="0" w:firstLine="720"/>
        <w:jc w:val="both"/>
        <w:rPr>
          <w:rFonts w:eastAsia="SimSun" w:cs="Times New Roman"/>
          <w:color w:val="000000"/>
          <w:highlight w:val="none"/>
        </w:rPr>
      </w:pPr>
      <w:r>
        <w:rPr>
          <w:rFonts w:cs="Times New Roman"/>
          <w:color w:val="000000"/>
          <w:sz w:val="28"/>
          <w:szCs w:val="28"/>
        </w:rPr>
        <w:t xml:space="preserve">4. </w:t>
      </w:r>
      <w:r>
        <w:rPr>
          <w:rFonts w:cs="Times New Roman"/>
          <w:color w:val="000000"/>
          <w:sz w:val="28"/>
          <w:szCs w:val="28"/>
        </w:rPr>
        <w:t xml:space="preserve">По сравнению с 2021   годом дебиторская задолженность уменьшилась на 1,1 тыс. руб., кредиторская задолженность увеличилась на 867,4 тыс. руб. </w:t>
      </w:r>
      <w:r>
        <w:rPr>
          <w:rFonts w:eastAsia="SimSun" w:cs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pStyle w:val="63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</w:t>
      </w:r>
      <w:r>
        <w:rPr>
          <w:sz w:val="28"/>
          <w:szCs w:val="28"/>
        </w:rPr>
        <w:t xml:space="preserve">По итогам 2022  года муниципального долга у Барнуковского муниципального образования не имеется. </w:t>
      </w:r>
      <w:r/>
    </w:p>
    <w:p>
      <w:pPr>
        <w:pStyle w:val="637"/>
        <w:ind w:left="60" w:firstLine="66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709" w:right="1134" w:bottom="1134" w:left="1701" w:header="720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Mangal">
    <w:panose1 w:val="02040503050203030202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0"/>
      <w:ind w:right="360"/>
      <w:tabs>
        <w:tab w:val="right" w:pos="8993" w:leader="none"/>
        <w:tab w:val="clear" w:pos="9353" w:leader="none"/>
      </w:tabs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0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360045" cy="17272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50"/>
                          </w:pPr>
                          <w:r>
                            <w:rPr>
                              <w:color w:val="7f7f7f"/>
                            </w:rPr>
                            <w:fldChar w:fldCharType="begin"/>
                          </w:r>
                          <w:r>
                            <w:rPr>
                              <w:color w:val="7f7f7f"/>
                            </w:rPr>
                            <w:instrText xml:space="preserve"> PAGE \* Arabic </w:instrText>
                          </w:r>
                          <w:r>
                            <w:rPr>
                              <w:color w:val="7f7f7f"/>
                            </w:rPr>
                            <w:fldChar w:fldCharType="separate"/>
                          </w:r>
                          <w:r>
                            <w:rPr>
                              <w:color w:val="7f7f7f"/>
                            </w:rPr>
                            <w:t xml:space="preserve">1</w:t>
                          </w:r>
                          <w:r>
                            <w:rPr>
                              <w:color w:val="7f7f7f"/>
                            </w:rPr>
                            <w:fldChar w:fldCharType="end"/>
                          </w:r>
                          <w:r/>
                        </w:p>
                        <w:p>
                          <w:pPr>
                            <w:pStyle w:val="650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false;mso-position-horizontal-relative:page;margin-left:546.7pt;mso-position-horizontal:absolute;mso-position-vertical-relative:text;margin-top:0.0pt;mso-position-vertical:absolute;width:28.3pt;height:13.6pt;mso-wrap-distance-left:0.0pt;mso-wrap-distance-top:0.0pt;mso-wrap-distance-right:0.0pt;mso-wrap-distance-bottom:0.0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650"/>
                    </w:pPr>
                    <w:r>
                      <w:rPr>
                        <w:color w:val="7f7f7f"/>
                      </w:rPr>
                      <w:fldChar w:fldCharType="begin"/>
                    </w:r>
                    <w:r>
                      <w:rPr>
                        <w:color w:val="7f7f7f"/>
                      </w:rPr>
                      <w:instrText xml:space="preserve"> PAGE \* Arabic </w:instrText>
                    </w:r>
                    <w:r>
                      <w:rPr>
                        <w:color w:val="7f7f7f"/>
                      </w:rPr>
                      <w:fldChar w:fldCharType="separate"/>
                    </w:r>
                    <w:r>
                      <w:rPr>
                        <w:color w:val="7f7f7f"/>
                      </w:rPr>
                      <w:t xml:space="preserve">1</w:t>
                    </w:r>
                    <w:r>
                      <w:rPr>
                        <w:color w:val="7f7f7f"/>
                      </w:rPr>
                      <w:fldChar w:fldCharType="end"/>
                    </w:r>
                    <w:r/>
                  </w:p>
                  <w:p>
                    <w:pPr>
                      <w:pStyle w:val="650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37"/>
        <w:ind w:left="360" w:hanging="360"/>
        <w:tabs>
          <w:tab w:val="left" w:pos="360" w:leader="none"/>
        </w:tabs>
      </w:pPr>
      <w:rPr>
        <w:b/>
        <w:sz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7"/>
    <w:next w:val="63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7"/>
    <w:next w:val="63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7"/>
    <w:next w:val="63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7"/>
    <w:next w:val="63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7"/>
    <w:next w:val="63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7"/>
    <w:next w:val="63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7"/>
    <w:next w:val="63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7"/>
    <w:next w:val="63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7"/>
    <w:next w:val="63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7"/>
    <w:next w:val="63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7"/>
    <w:next w:val="63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7"/>
    <w:next w:val="63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7"/>
    <w:next w:val="63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next w:val="637"/>
    <w:link w:val="637"/>
    <w:qFormat/>
    <w:rPr>
      <w:color w:val="000000"/>
      <w:sz w:val="24"/>
      <w:szCs w:val="24"/>
      <w:lang w:val="ru-RU" w:eastAsia="ar-SA" w:bidi="ar-SA"/>
    </w:rPr>
  </w:style>
  <w:style w:type="paragraph" w:styleId="638">
    <w:name w:val="Заголовок 1"/>
    <w:basedOn w:val="637"/>
    <w:next w:val="637"/>
    <w:link w:val="637"/>
    <w:qFormat/>
    <w:pPr>
      <w:keepLines/>
      <w:keepNext/>
      <w:spacing w:before="240" w:after="60"/>
      <w:widowControl w:val="off"/>
      <w:outlineLvl w:val="0"/>
    </w:pPr>
    <w:rPr>
      <w:rFonts w:ascii="Arial" w:hAnsi="Arial" w:cs="Arial"/>
      <w:b/>
      <w:sz w:val="36"/>
      <w:szCs w:val="36"/>
    </w:rPr>
  </w:style>
  <w:style w:type="paragraph" w:styleId="639">
    <w:name w:val="Заголовок 2"/>
    <w:basedOn w:val="638"/>
    <w:next w:val="637"/>
    <w:link w:val="637"/>
    <w:qFormat/>
    <w:pPr>
      <w:outlineLvl w:val="1"/>
    </w:pPr>
    <w:rPr>
      <w:sz w:val="32"/>
      <w:szCs w:val="32"/>
    </w:rPr>
  </w:style>
  <w:style w:type="paragraph" w:styleId="640">
    <w:name w:val="Заголовок 3"/>
    <w:basedOn w:val="639"/>
    <w:next w:val="637"/>
    <w:link w:val="637"/>
    <w:qFormat/>
    <w:pPr>
      <w:outlineLvl w:val="2"/>
    </w:pPr>
    <w:rPr>
      <w:sz w:val="28"/>
      <w:szCs w:val="28"/>
    </w:rPr>
  </w:style>
  <w:style w:type="character" w:styleId="641">
    <w:name w:val="Основной шрифт абзаца"/>
    <w:next w:val="641"/>
    <w:link w:val="637"/>
    <w:semiHidden/>
  </w:style>
  <w:style w:type="table" w:styleId="642">
    <w:name w:val="Обычная таблица"/>
    <w:next w:val="642"/>
    <w:link w:val="637"/>
    <w:semiHidden/>
    <w:tblPr/>
  </w:style>
  <w:style w:type="numbering" w:styleId="643">
    <w:name w:val="Нет списка"/>
    <w:next w:val="643"/>
    <w:link w:val="637"/>
    <w:semiHidden/>
  </w:style>
  <w:style w:type="paragraph" w:styleId="644">
    <w:name w:val="Заголовок"/>
    <w:basedOn w:val="637"/>
    <w:next w:val="645"/>
    <w:link w:val="637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645">
    <w:name w:val="Основной текст"/>
    <w:basedOn w:val="637"/>
    <w:next w:val="645"/>
    <w:link w:val="637"/>
    <w:pPr>
      <w:spacing w:after="120"/>
    </w:pPr>
  </w:style>
  <w:style w:type="paragraph" w:styleId="646">
    <w:name w:val="Список"/>
    <w:basedOn w:val="645"/>
    <w:next w:val="646"/>
    <w:link w:val="637"/>
    <w:rPr>
      <w:rFonts w:cs="Mangal"/>
    </w:rPr>
  </w:style>
  <w:style w:type="paragraph" w:styleId="647">
    <w:name w:val="Название*"/>
    <w:basedOn w:val="637"/>
    <w:next w:val="647"/>
    <w:link w:val="637"/>
    <w:pPr>
      <w:spacing w:before="120" w:after="120"/>
    </w:pPr>
    <w:rPr>
      <w:rFonts w:cs="Mangal"/>
      <w:i/>
    </w:rPr>
  </w:style>
  <w:style w:type="paragraph" w:styleId="648">
    <w:name w:val="Указатель*"/>
    <w:basedOn w:val="637"/>
    <w:next w:val="648"/>
    <w:link w:val="637"/>
    <w:rPr>
      <w:rFonts w:cs="Mangal"/>
    </w:rPr>
  </w:style>
  <w:style w:type="paragraph" w:styleId="649">
    <w:name w:val="ConsNormal"/>
    <w:next w:val="649"/>
    <w:link w:val="637"/>
    <w:pPr>
      <w:ind w:right="19772" w:firstLine="720"/>
      <w:widowControl w:val="off"/>
    </w:pPr>
    <w:rPr>
      <w:rFonts w:ascii="Arial" w:hAnsi="Arial" w:cs="Arial"/>
      <w:color w:val="000000"/>
      <w:lang w:val="ru-RU" w:eastAsia="ar-SA" w:bidi="ar-SA"/>
    </w:rPr>
  </w:style>
  <w:style w:type="paragraph" w:styleId="650">
    <w:name w:val="Нижний колонтитул"/>
    <w:basedOn w:val="637"/>
    <w:next w:val="650"/>
    <w:link w:val="637"/>
    <w:pPr>
      <w:tabs>
        <w:tab w:val="center" w:pos="4677" w:leader="none"/>
        <w:tab w:val="right" w:pos="9353" w:leader="none"/>
      </w:tabs>
    </w:pPr>
  </w:style>
  <w:style w:type="paragraph" w:styleId="651">
    <w:name w:val="Верхний колонтитул"/>
    <w:basedOn w:val="637"/>
    <w:next w:val="651"/>
    <w:link w:val="637"/>
    <w:pPr>
      <w:tabs>
        <w:tab w:val="center" w:pos="4677" w:leader="none"/>
        <w:tab w:val="right" w:pos="9353" w:leader="none"/>
      </w:tabs>
    </w:pPr>
  </w:style>
  <w:style w:type="paragraph" w:styleId="652">
    <w:name w:val="Схема документа*"/>
    <w:basedOn w:val="637"/>
    <w:next w:val="652"/>
    <w:link w:val="637"/>
    <w:pPr>
      <w:shd w:val="clear" w:color="000000" w:fill="00007f"/>
    </w:pPr>
    <w:rPr>
      <w:rFonts w:ascii="Tahoma" w:hAnsi="Tahoma" w:cs="Tahoma"/>
      <w:sz w:val="20"/>
      <w:szCs w:val="20"/>
    </w:rPr>
  </w:style>
  <w:style w:type="paragraph" w:styleId="653">
    <w:name w:val="ConsPlusNormal"/>
    <w:next w:val="653"/>
    <w:link w:val="637"/>
    <w:pPr>
      <w:ind w:firstLine="720"/>
      <w:widowControl w:val="off"/>
    </w:pPr>
    <w:rPr>
      <w:rFonts w:ascii="Arial" w:hAnsi="Arial" w:cs="Arial"/>
      <w:color w:val="000000"/>
      <w:lang w:val="ru-RU" w:eastAsia="ar-SA" w:bidi="ar-SA"/>
    </w:rPr>
  </w:style>
  <w:style w:type="paragraph" w:styleId="654">
    <w:name w:val="Содержимое таблицы"/>
    <w:basedOn w:val="637"/>
    <w:next w:val="654"/>
    <w:link w:val="637"/>
  </w:style>
  <w:style w:type="paragraph" w:styleId="655">
    <w:name w:val="Заголовок таблицы"/>
    <w:basedOn w:val="654"/>
    <w:next w:val="655"/>
    <w:link w:val="637"/>
    <w:pPr>
      <w:jc w:val="center"/>
    </w:pPr>
    <w:rPr>
      <w:b/>
    </w:rPr>
  </w:style>
  <w:style w:type="paragraph" w:styleId="656">
    <w:name w:val="Содержимое врезки"/>
    <w:basedOn w:val="645"/>
    <w:next w:val="656"/>
    <w:link w:val="637"/>
  </w:style>
  <w:style w:type="character" w:styleId="780" w:default="1">
    <w:name w:val="Default Paragraph Font"/>
    <w:uiPriority w:val="1"/>
    <w:semiHidden/>
    <w:unhideWhenUsed/>
  </w:style>
  <w:style w:type="numbering" w:styleId="781" w:default="1">
    <w:name w:val="No List"/>
    <w:uiPriority w:val="99"/>
    <w:semiHidden/>
    <w:unhideWhenUsed/>
  </w:style>
  <w:style w:type="table" w:styleId="78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MoBIL GROUP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KBAHT SysCD</dc:creator>
  <cp:revision>79</cp:revision>
  <dcterms:created xsi:type="dcterms:W3CDTF">2008-04-16T05:04:00Z</dcterms:created>
  <dcterms:modified xsi:type="dcterms:W3CDTF">2023-05-03T11:50:18Z</dcterms:modified>
  <cp:version>786432</cp:version>
</cp:coreProperties>
</file>