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8D6" w:rsidRDefault="008628D6">
      <w:pPr>
        <w:widowControl w:val="0"/>
        <w:autoSpaceDE w:val="0"/>
        <w:autoSpaceDN w:val="0"/>
        <w:adjustRightInd w:val="0"/>
        <w:spacing w:after="0" w:line="240" w:lineRule="auto"/>
        <w:jc w:val="both"/>
        <w:outlineLvl w:val="0"/>
        <w:rPr>
          <w:rFonts w:ascii="Calibri" w:hAnsi="Calibri" w:cs="Calibri"/>
        </w:rPr>
      </w:pPr>
    </w:p>
    <w:p w:rsidR="008628D6" w:rsidRDefault="008628D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САРАТОВСКОЙ ОБЛАСТИ</w:t>
      </w:r>
    </w:p>
    <w:p w:rsidR="008628D6" w:rsidRDefault="008628D6">
      <w:pPr>
        <w:widowControl w:val="0"/>
        <w:autoSpaceDE w:val="0"/>
        <w:autoSpaceDN w:val="0"/>
        <w:adjustRightInd w:val="0"/>
        <w:spacing w:after="0" w:line="240" w:lineRule="auto"/>
        <w:jc w:val="center"/>
        <w:rPr>
          <w:rFonts w:ascii="Calibri" w:hAnsi="Calibri" w:cs="Calibri"/>
          <w:b/>
          <w:bCs/>
        </w:rPr>
      </w:pP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декабря 2011 г. N 750-П</w:t>
      </w:r>
    </w:p>
    <w:p w:rsidR="008628D6" w:rsidRDefault="008628D6">
      <w:pPr>
        <w:widowControl w:val="0"/>
        <w:autoSpaceDE w:val="0"/>
        <w:autoSpaceDN w:val="0"/>
        <w:adjustRightInd w:val="0"/>
        <w:spacing w:after="0" w:line="240" w:lineRule="auto"/>
        <w:jc w:val="center"/>
        <w:rPr>
          <w:rFonts w:ascii="Calibri" w:hAnsi="Calibri" w:cs="Calibri"/>
          <w:b/>
          <w:bCs/>
        </w:rPr>
      </w:pP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ОБЛАСТНОЙ ПРОГРАММЫ</w:t>
      </w: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"ПОВЫШЕНИЕ ИНВЕСТИЦИОННОЙ ПРИВЛЕКАТЕЛЬНОСТИ</w:t>
      </w: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НА 2012 - 2015 ГОДЫ</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4" w:history="1">
        <w:r>
          <w:rPr>
            <w:rFonts w:ascii="Calibri" w:hAnsi="Calibri" w:cs="Calibri"/>
            <w:color w:val="0000FF"/>
          </w:rPr>
          <w:t>Устава</w:t>
        </w:r>
      </w:hyperlink>
      <w:r>
        <w:rPr>
          <w:rFonts w:ascii="Calibri" w:hAnsi="Calibri" w:cs="Calibri"/>
        </w:rPr>
        <w:t xml:space="preserve"> (Основного Закона) Саратовской области и в соответствии с </w:t>
      </w:r>
      <w:hyperlink r:id="rId5" w:history="1">
        <w:r>
          <w:rPr>
            <w:rFonts w:ascii="Calibri" w:hAnsi="Calibri" w:cs="Calibri"/>
            <w:color w:val="0000FF"/>
          </w:rPr>
          <w:t>Законом</w:t>
        </w:r>
      </w:hyperlink>
      <w:r>
        <w:rPr>
          <w:rFonts w:ascii="Calibri" w:hAnsi="Calibri" w:cs="Calibri"/>
        </w:rPr>
        <w:t xml:space="preserve"> Саратовской области от 28 июня 2007 г. N 116-ЗСО "О режиме наибольшего благоприятствования для инвесторов в Саратовской области" Правительство области постановляет:</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областную </w:t>
      </w:r>
      <w:hyperlink w:anchor="Par30" w:history="1">
        <w:r>
          <w:rPr>
            <w:rFonts w:ascii="Calibri" w:hAnsi="Calibri" w:cs="Calibri"/>
            <w:color w:val="0000FF"/>
          </w:rPr>
          <w:t>программу</w:t>
        </w:r>
      </w:hyperlink>
      <w:r>
        <w:rPr>
          <w:rFonts w:ascii="Calibri" w:hAnsi="Calibri" w:cs="Calibri"/>
        </w:rPr>
        <w:t xml:space="preserve"> "Повышение инвестиционной привлекательности Саратовской области" на 2012 - 2015 годы (далее - Программа).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Органам исполнительной власти области обеспечить выполнение </w:t>
      </w:r>
      <w:hyperlink w:anchor="Par238" w:history="1">
        <w:r>
          <w:rPr>
            <w:rFonts w:ascii="Calibri" w:hAnsi="Calibri" w:cs="Calibri"/>
            <w:color w:val="0000FF"/>
          </w:rPr>
          <w:t>плана</w:t>
        </w:r>
      </w:hyperlink>
      <w:r>
        <w:rPr>
          <w:rFonts w:ascii="Calibri" w:hAnsi="Calibri" w:cs="Calibri"/>
        </w:rPr>
        <w:t xml:space="preserve"> мероприятий Программы и представление в министерство инвестиционной политики области сведений о результатах реализации мероприятий Программы.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инвестиционной политики области ежегодно представлять Правительству области отчет о ходе исполнения </w:t>
      </w:r>
      <w:hyperlink w:anchor="Par238" w:history="1">
        <w:r>
          <w:rPr>
            <w:rFonts w:ascii="Calibri" w:hAnsi="Calibri" w:cs="Calibri"/>
            <w:color w:val="0000FF"/>
          </w:rPr>
          <w:t>Плана</w:t>
        </w:r>
      </w:hyperlink>
      <w:r>
        <w:rPr>
          <w:rFonts w:ascii="Calibri" w:hAnsi="Calibri" w:cs="Calibri"/>
        </w:rPr>
        <w:t xml:space="preserve"> мероприятий Программы и предложения по его корректировке.</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заместителя Председателя Правительства области - руководителя представительства Правительства области при Правительстве Российской Федерации Жандарова А.В.</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со дня его подписания.</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П.Л.ИПАТОВ</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Саратовской области</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от 27 декабря 2011 г. N 750-П</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ОБЛАСТНАЯ ПРОГРАММА</w:t>
      </w: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"ПОВЫШЕНИЕ ИНВЕСТИЦИОННОЙ ПРИВЛЕКАТЕЛЬНОСТИ</w:t>
      </w: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САРАТОВСКОЙ ОБЛАСТИ" НА 2012 - 2015 ГОДЫ</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1"/>
        <w:rPr>
          <w:rFonts w:ascii="Calibri" w:hAnsi="Calibri" w:cs="Calibri"/>
        </w:rPr>
      </w:pPr>
      <w:bookmarkStart w:id="3" w:name="Par34"/>
      <w:bookmarkEnd w:id="3"/>
      <w:r>
        <w:rPr>
          <w:rFonts w:ascii="Calibri" w:hAnsi="Calibri" w:cs="Calibri"/>
        </w:rPr>
        <w:t>Паспорт Программы</w:t>
      </w:r>
    </w:p>
    <w:p w:rsidR="008628D6" w:rsidRDefault="008628D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340"/>
        <w:gridCol w:w="6552"/>
      </w:tblGrid>
      <w:tr w:rsidR="008628D6">
        <w:tblPrEx>
          <w:tblCellMar>
            <w:top w:w="0" w:type="dxa"/>
            <w:bottom w:w="0" w:type="dxa"/>
          </w:tblCellMar>
        </w:tblPrEx>
        <w:trPr>
          <w:trHeight w:val="600"/>
          <w:tblCellSpacing w:w="5" w:type="nil"/>
        </w:trPr>
        <w:tc>
          <w:tcPr>
            <w:tcW w:w="2340"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областная    программа    "Повышение    инвестиционной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привлекательности Саратовской области" на 2012 -  2015</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годы (далее - Программа)                              </w:t>
            </w:r>
          </w:p>
        </w:tc>
      </w:tr>
      <w:tr w:rsidR="008628D6">
        <w:tblPrEx>
          <w:tblCellMar>
            <w:top w:w="0" w:type="dxa"/>
            <w:bottom w:w="0" w:type="dxa"/>
          </w:tblCellMar>
        </w:tblPrEx>
        <w:trPr>
          <w:trHeight w:val="1200"/>
          <w:tblCellSpacing w:w="5" w:type="nil"/>
        </w:trPr>
        <w:tc>
          <w:tcPr>
            <w:tcW w:w="2340"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Цель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улучшение   инвестиционного   климата    в    области,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обеспечивающее приток прямых иностранных и  российских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в   производственную   деятельность    </w:t>
            </w:r>
            <w:r>
              <w:rPr>
                <w:rFonts w:ascii="Courier New" w:hAnsi="Courier New" w:cs="Courier New"/>
                <w:sz w:val="20"/>
                <w:szCs w:val="20"/>
              </w:rPr>
              <w:lastRenderedPageBreak/>
              <w:t>на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области    и    достижение    устойчивого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социально-экономического развития за счет  эффективной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политики                               </w:t>
            </w:r>
          </w:p>
        </w:tc>
      </w:tr>
      <w:tr w:rsidR="008628D6">
        <w:tblPrEx>
          <w:tblCellMar>
            <w:top w:w="0" w:type="dxa"/>
            <w:bottom w:w="0" w:type="dxa"/>
          </w:tblCellMar>
        </w:tblPrEx>
        <w:trPr>
          <w:trHeight w:val="2800"/>
          <w:tblCellSpacing w:w="5" w:type="nil"/>
        </w:trPr>
        <w:tc>
          <w:tcPr>
            <w:tcW w:w="2340"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Задачи Программы  </w:t>
            </w:r>
          </w:p>
        </w:tc>
        <w:tc>
          <w:tcPr>
            <w:tcW w:w="6552"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  Развитие  механизмов  административной   среды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совершенствование нормативной правовой базы.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Подготовка развитой инфраструктуры  для  комфортной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инвестиционных проектов.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  Формирование  и  развитие  финансовых   механизмов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привлечения и поддержки инвестиций.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Развитие       взаимодействия       субъектов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предпринимательства. Поддержка  продвижения  на  рынок</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инновационной продукции.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Формирование  благоприятных  тарифных  условий  для</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привлечения инвестиций.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Кадровое обеспечение инвестиционного процесса.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Формирование  положительного  имиджа   области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продвижение бренда области.                           </w:t>
            </w:r>
          </w:p>
        </w:tc>
      </w:tr>
      <w:tr w:rsidR="008628D6">
        <w:tblPrEx>
          <w:tblCellMar>
            <w:top w:w="0" w:type="dxa"/>
            <w:bottom w:w="0" w:type="dxa"/>
          </w:tblCellMar>
        </w:tblPrEx>
        <w:trPr>
          <w:trHeight w:val="2400"/>
          <w:tblCellSpacing w:w="5" w:type="nil"/>
        </w:trPr>
        <w:tc>
          <w:tcPr>
            <w:tcW w:w="2340"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Целевые индикаторы</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Объем инвестиций в основной капитал.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Индекс физического  объема  инвестиций  в  основной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капитал.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Объем иностранных инвестиций.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 Доля прямых иностранных инвестиций в  общем  объеме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иностранных инвестиций.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Доля инновационной продукции в общем объеме выпуска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промышленной продукции.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Количество  компаний  резидентов  в  индустриальных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парках.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   Количество   субъектов    малого    и    среднего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в расчете на 1 тыс. человек.      </w:t>
            </w:r>
          </w:p>
        </w:tc>
      </w:tr>
      <w:tr w:rsidR="008628D6">
        <w:tblPrEx>
          <w:tblCellMar>
            <w:top w:w="0" w:type="dxa"/>
            <w:bottom w:w="0" w:type="dxa"/>
          </w:tblCellMar>
        </w:tblPrEx>
        <w:trPr>
          <w:trHeight w:val="400"/>
          <w:tblCellSpacing w:w="5" w:type="nil"/>
        </w:trPr>
        <w:tc>
          <w:tcPr>
            <w:tcW w:w="2340"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Разработчик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6552"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инвестиционной политики области          </w:t>
            </w:r>
          </w:p>
        </w:tc>
      </w:tr>
    </w:tbl>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1"/>
        <w:rPr>
          <w:rFonts w:ascii="Calibri" w:hAnsi="Calibri" w:cs="Calibri"/>
        </w:rPr>
      </w:pPr>
      <w:bookmarkStart w:id="4" w:name="Par80"/>
      <w:bookmarkEnd w:id="4"/>
      <w:r>
        <w:rPr>
          <w:rFonts w:ascii="Calibri" w:hAnsi="Calibri" w:cs="Calibri"/>
        </w:rPr>
        <w:t>1. Содержание проблемы и обоснование необходимости</w:t>
      </w:r>
    </w:p>
    <w:p w:rsidR="008628D6" w:rsidRDefault="008628D6">
      <w:pPr>
        <w:widowControl w:val="0"/>
        <w:autoSpaceDE w:val="0"/>
        <w:autoSpaceDN w:val="0"/>
        <w:adjustRightInd w:val="0"/>
        <w:spacing w:after="0" w:line="240" w:lineRule="auto"/>
        <w:jc w:val="center"/>
        <w:rPr>
          <w:rFonts w:ascii="Calibri" w:hAnsi="Calibri" w:cs="Calibri"/>
        </w:rPr>
      </w:pPr>
      <w:r>
        <w:rPr>
          <w:rFonts w:ascii="Calibri" w:hAnsi="Calibri" w:cs="Calibri"/>
        </w:rPr>
        <w:t>решения ее программными методами</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Стратегической целью Саратовской области на долгосрочную перспективу является вхождение области в число регионов - лидеров по уровню валового регионального продукта (далее - ВРП) на душу населения. Однако без реализации масштабной инвестиционной программы развитие области будет невозможным. Поэтому в настоящее время первоочередная задача заключается в выходе Саратовской области на лидирующие позиции по темпам роста инвестиций в основной капитал. Среднее отношение процента прироста инвестиций к проценту прироста ВРП за последние 5 лет составило 1,768. Но для достижения устойчивого экономического роста порядка 5 процентов в год необходим ежегодный прирост прямых инвестиций на уровне 8 - 9 процентов.</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при сложившейся возрастной структуре основного капитала, его физическом и моральном износе прогнозируемые в среднесрочной перспективе темпы роста инвестиций </w:t>
      </w:r>
      <w:r>
        <w:rPr>
          <w:rFonts w:ascii="Calibri" w:hAnsi="Calibri" w:cs="Calibri"/>
        </w:rPr>
        <w:lastRenderedPageBreak/>
        <w:t xml:space="preserve">являются недостаточными для осуществления эффективной структурной политики и обновления основных производственных фондов, достижения стратегических целевых значений и решения задач, обозначенных в </w:t>
      </w:r>
      <w:hyperlink r:id="rId6" w:history="1">
        <w:r>
          <w:rPr>
            <w:rFonts w:ascii="Calibri" w:hAnsi="Calibri" w:cs="Calibri"/>
            <w:color w:val="0000FF"/>
          </w:rPr>
          <w:t>Стратегии</w:t>
        </w:r>
      </w:hyperlink>
      <w:r>
        <w:rPr>
          <w:rFonts w:ascii="Calibri" w:hAnsi="Calibri" w:cs="Calibri"/>
        </w:rPr>
        <w:t xml:space="preserve"> социально-экономического развития Саратовской области до 2025 года.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 опережающий ввод производственных мощностей с высокой производительностью рабочих мест.</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Выделяется несколько общих моментов при формировании инвестиционной политики, способствующих привлечению инвестиций: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государственной поддержки на приоритетных направлениях развития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парковых зон опережающего развития;</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соглашений о сотрудничестве между областью и инвестором, в которых прописаны обязательства каждой стороны, в том числе по развитию инфраструктуры;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сокращение сроков начала реализации инвестиционного проекта;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институтов развития, направленных на привлечение инвестиций и действующих по принципу "одного окна".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мер государственной поддержки инвестора наиболее распространенной формой является предоставление в соответствии с законодательством субсидий из средств областного бюджета хозяйствующим субъектам, реализующим инвестиционные проекты на территории области. Также наиболее распространенными мерами государственной поддержки являются предоставление государственных гарантий и налоговых льгот инвесторам.</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Комплексность и последовательность при реализации мер инвестиционной поддержки позволяет добиться мощного синергетического эффекта, качественно улучшающего инвестиционный климат, и обеспечить кардинальный рост инвестиций, создание новых высокопроизводительных рабочих мест и рост налоговых поступлений.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функционируют региональные институты развития:</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"Гарантийный фонд для субъектов малого предпринимательства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"Фонд содействия развитию венчурных инвестиций в малые предприятия в научно-технической сфере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залоговый фонд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"Ипотечная корпорация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Реализуются нормативные правовые акты, стимулирующие привлечение инвестиций в экономику области и, прежде всего, в модернизацию существующих и создание новых производств на инновационной технической и технологической основах:</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Закон</w:t>
        </w:r>
      </w:hyperlink>
      <w:r>
        <w:rPr>
          <w:rFonts w:ascii="Calibri" w:hAnsi="Calibri" w:cs="Calibri"/>
        </w:rPr>
        <w:t xml:space="preserve"> Саратовской области от 28 июля 1997 г. N 50-ЗСО "Об инновациях и инновационной деятельности";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Закон</w:t>
        </w:r>
      </w:hyperlink>
      <w:r>
        <w:rPr>
          <w:rFonts w:ascii="Calibri" w:hAnsi="Calibri" w:cs="Calibri"/>
        </w:rPr>
        <w:t xml:space="preserve"> Саратовской области от 25 ноября 2002 г. N 109-ЗСО "О введении на территории Саратовской области транспортного налога";</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Закон</w:t>
        </w:r>
      </w:hyperlink>
      <w:r>
        <w:rPr>
          <w:rFonts w:ascii="Calibri" w:hAnsi="Calibri" w:cs="Calibri"/>
        </w:rPr>
        <w:t xml:space="preserve"> Саратовской области от 24 ноября 2003 г. N 73-ЗСО "О введении на территории Саратовской области налога на имущество организаций";</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Закон</w:t>
        </w:r>
      </w:hyperlink>
      <w:r>
        <w:rPr>
          <w:rFonts w:ascii="Calibri" w:hAnsi="Calibri" w:cs="Calibri"/>
        </w:rPr>
        <w:t xml:space="preserve"> Саратовской области от 23 июля 2004 г. N 39-ЗСО "О государственной поддержке специализированных субъектов инновационной деятельности в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Закон</w:t>
        </w:r>
      </w:hyperlink>
      <w:r>
        <w:rPr>
          <w:rFonts w:ascii="Calibri" w:hAnsi="Calibri" w:cs="Calibri"/>
        </w:rPr>
        <w:t xml:space="preserve"> Саратовской области от 2 октября 2006 г. N 92-ЗСО "О залоговом фонде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Закон</w:t>
        </w:r>
      </w:hyperlink>
      <w:r>
        <w:rPr>
          <w:rFonts w:ascii="Calibri" w:hAnsi="Calibri" w:cs="Calibri"/>
        </w:rPr>
        <w:t xml:space="preserve"> Саратовской области от 28 июня 2007 г. N 116-ЗСО "О режиме наибольшего благоприятствования для инвесторов в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Закон</w:t>
        </w:r>
      </w:hyperlink>
      <w:r>
        <w:rPr>
          <w:rFonts w:ascii="Calibri" w:hAnsi="Calibri" w:cs="Calibri"/>
        </w:rPr>
        <w:t xml:space="preserve"> Саратовской области от 28 июня 2007 г. N 118-ЗСО "О порядке проведения общественных слушаний при установлении публичных сервитутов на земельные участки в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Закон</w:t>
        </w:r>
      </w:hyperlink>
      <w:r>
        <w:rPr>
          <w:rFonts w:ascii="Calibri" w:hAnsi="Calibri" w:cs="Calibri"/>
        </w:rPr>
        <w:t xml:space="preserve"> Саратовской области от 1 августа 2007 г. N 131-ЗСО "О ставках налога на прибыль организаций в отношении инвесторов, осуществляющих инвестиционную деятельность на территории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Закон</w:t>
        </w:r>
      </w:hyperlink>
      <w:r>
        <w:rPr>
          <w:rFonts w:ascii="Calibri" w:hAnsi="Calibri" w:cs="Calibri"/>
        </w:rPr>
        <w:t xml:space="preserve"> Саратовской области от 28 апреля 2010 г. N 62-ЗСО "Об участии Саратовской области в государственно-частном партнерстве";</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постановление</w:t>
        </w:r>
      </w:hyperlink>
      <w:r>
        <w:rPr>
          <w:rFonts w:ascii="Calibri" w:hAnsi="Calibri" w:cs="Calibri"/>
        </w:rPr>
        <w:t xml:space="preserve"> Губернатора Саратовской области от 22 февраля 2007 г. N 26 "О создании Совета по инвестициям при Губернаторе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27 августа 2007 г. N 305-П "Об утверждении примерной формы инвестиционного договора, формы инвестиционного свидетельства, письменного заявления инвестора, порядка ведения реестра инвестиционных договоров и его формы";</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22 февраля 2007 г. N 63-П "О ежегодном областном конкурсе "Инвестор года";</w:t>
      </w:r>
    </w:p>
    <w:p w:rsidR="008628D6" w:rsidRDefault="008628D6">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Саратовской области от 2 июня 2006 г. N 178-П "Об областной комиссии по проведению конкурса на право заключения концессионных соглашений".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2010 год Саратовская область продемонстрировала один из лучших показателей роста инвестиций - по сравнению с 2009 годом объем инвестиций вырос на 112,3 процента.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2009 году объем инвестиций в основной капитал по данным Федеральной службы государственной статистики снизился почти на 10 процентов, что объясняется кризисными явлениями в экономике страны. Несмотря на это, в 2010 году объем инвестиций в основной капитал в области составил 78073,2 млн. рублей </w:t>
      </w:r>
      <w:hyperlink w:anchor="Par116" w:history="1">
        <w:r>
          <w:rPr>
            <w:rFonts w:ascii="Calibri" w:hAnsi="Calibri" w:cs="Calibri"/>
            <w:color w:val="0000FF"/>
          </w:rPr>
          <w:t>(рис. 1)</w:t>
        </w:r>
      </w:hyperlink>
      <w:r>
        <w:rPr>
          <w:rFonts w:ascii="Calibri" w:hAnsi="Calibri" w:cs="Calibri"/>
        </w:rPr>
        <w:t>.</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2"/>
        <w:rPr>
          <w:rFonts w:ascii="Calibri" w:hAnsi="Calibri" w:cs="Calibri"/>
        </w:rPr>
      </w:pPr>
      <w:bookmarkStart w:id="5" w:name="Par116"/>
      <w:bookmarkEnd w:id="5"/>
      <w:r>
        <w:rPr>
          <w:rFonts w:ascii="Calibri" w:hAnsi="Calibri" w:cs="Calibri"/>
        </w:rPr>
        <w:t>Рис. 1. Динамика инвестиций в основной капитал в Саратовской</w:t>
      </w:r>
    </w:p>
    <w:p w:rsidR="008628D6" w:rsidRDefault="008628D6">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2005 - 2010 годы, млн. рублей</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2"/>
        <w:rPr>
          <w:rFonts w:ascii="Calibri" w:hAnsi="Calibri" w:cs="Calibri"/>
        </w:rPr>
      </w:pPr>
      <w:bookmarkStart w:id="6" w:name="Par121"/>
      <w:bookmarkEnd w:id="6"/>
      <w:r>
        <w:rPr>
          <w:rFonts w:ascii="Calibri" w:hAnsi="Calibri" w:cs="Calibri"/>
        </w:rPr>
        <w:t>Рис. 2. Отношение % прироста инвестиций к % прироста</w:t>
      </w:r>
    </w:p>
    <w:p w:rsidR="008628D6" w:rsidRDefault="008628D6">
      <w:pPr>
        <w:widowControl w:val="0"/>
        <w:autoSpaceDE w:val="0"/>
        <w:autoSpaceDN w:val="0"/>
        <w:adjustRightInd w:val="0"/>
        <w:spacing w:after="0" w:line="240" w:lineRule="auto"/>
        <w:jc w:val="center"/>
        <w:rPr>
          <w:rFonts w:ascii="Calibri" w:hAnsi="Calibri" w:cs="Calibri"/>
        </w:rPr>
      </w:pPr>
      <w:r>
        <w:rPr>
          <w:rFonts w:ascii="Calibri" w:hAnsi="Calibri" w:cs="Calibri"/>
        </w:rPr>
        <w:t>валового регионального продукта по Саратовской области</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rPr>
          <w:rFonts w:ascii="Calibri" w:hAnsi="Calibri" w:cs="Calibri"/>
        </w:rPr>
      </w:pPr>
      <w:r>
        <w:rPr>
          <w:rFonts w:ascii="Calibri" w:hAnsi="Calibri" w:cs="Calibri"/>
        </w:rPr>
        <w:t>Рисунок не приводится.</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Росту инвестиций в Саратовской области, помимо эффективного инвестиционного законодательства, способствовал целый комплекс естественных и социально-экономических преимуществ, связанных, прежде всего, с выгодным геополитическим положением.</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стоит отметить, что Саратовская область - один из наиболее крупных субъектов Российской Федерации.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Близость к Москве, наличие Государственной границы с Республикой Казахстан с выходом в Центральную и Среднюю Азию, Китай свидетельствуют о выгодном географическом положении Саратовской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выявлено большое количество месторождений углеводородного сырья и твердых полезных ископаемых. Также на территории области добываются полезные ископаемые - нефть, газ, сырье для производства строительных материалов (мел, мергель, пески, цементное сырье, кирпично-черепичные глины), сера, цеолиты, горючие сланцы, агроруды.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обладает ресурсами и сравнительными преимуществами обеспечения продовольственной безопасности страны. Объем земельного фонда области составляет 10 млн. га. Учитывая типы почв (преимущественно черноземы) и климатические условия, важную роль в экономике области играет агропромышленный сектор. В то же время экономика области достаточно хорошо диверсифицирована.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конкурентные преимущества, которые предстоит усиливать. К ним относятся промышленно-технологический потенциал, развитое сельское хозяйство, квалификация кадров и система образования, транспортно-логистическая сеть, включая дороги, инфраструктура, культурная среда.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Саратовская область отличается от многих регионов России высокой концентрацией научно-исследовательских институтов, конструкторских бюро, высших учебных заведений, высокотехнологичных предприятий: 6 институтов РАН, 21 НИИ, 19 проектных институтов, 14 ВУЗов, множество техникумов, колледжей, профтехучилищ.</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Значимым преимуществом области является развитая сеть дистрибьюторов, уровень развития предпринимательства и услуг для бизнеса. Они обеспечивают для инвестора доступ на </w:t>
      </w:r>
      <w:r>
        <w:rPr>
          <w:rFonts w:ascii="Calibri" w:hAnsi="Calibri" w:cs="Calibri"/>
        </w:rPr>
        <w:lastRenderedPageBreak/>
        <w:t>рынки сбыта как области, так и регионов в радиусе 500 - 600 км с численностью населения свыше 30 млн. человек.</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инвестиционного потенциала области предполагается сосредоточить усилия на притоке капитала, в первую очередь, в промышленность и на основе промышленного роста во все сектора экономики. При этом отраслевые секторы выбираются не по технологическому принципу, а по принципу цепочки добавленной стоимости, ориентированные на имеющиеся в России ликвидные и платежеспособные рынки сбыта: продукты питания, АПК, строительство и жилье, сырьевые отрасли, оборона и безопасность, обеспечение здоровья, знания и информация.</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Область ставит перед собой задачу создания вертикально интегрированных кластеров путем стимулирования как инвестиций, так и спроса на продукцию кластера в целом по вертикали.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существует положительный опыт реализации масштабных инвестиционных проектов, в том числе иностранными компаниями: компания "ТНК-British Petroleum" (переработка и сбыт нефтепродуктов); предприятие концерна "BOSH" ООО "Бош Пауэр Тулз" (производство профессиональных электроинструментов); компания Henkel, ОАО "Хенкель-Юг" (производство моющих средств и товаров бытовой химии); компания British-American Tobacco, ОАО "БАТ-СТФ" (производство табачной продукции); концерн Holcim, ОАО "Вольскцемент" (цементная промышленность); компания "Metro Cash &amp; Carry" (торговый комплекс); компания "Volga Gas pls" (разведка, добыча, переработка и реализация запасов углеводородного сырья); компания Fresenius Medical Deutschland GmbH (строительство диализного центра); компания Brenco (выпуск буксовых конических подшипников кассетного типа).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объем иностранных инвестиций, поступивших в экономику области в 2010 году, по данным Федеральной службы государственной статистики составил 150,5 млн. долларов США прямых иностранных инвестиций.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административных барьеров является одним из существенных ограничителей экономического роста в России в целом и требует широкого комплекса мер, именно поэтому целью является сокращение количества разрешительных процедур, необходимых для осуществления инвестиционной и предпринимательской деятельности, сокращение сроков получения разрешений, требуемых на различных этапах реализации инвестиционных проектов, в 2 - 3 раза.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последние два года уже достигнуты определенные успехи: сроки прохождения инвестиционных проектов через все процедуры согласования в области сократились в несколько раз (с трех лет до семи месяцев). Для дальнейшей работы в этом направлении планируется разработать четкие, поэтапные регламенты в каждой отрасли экономики, включая участие в этой процедуре органов местного самоуправления.</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году объем инвестиций в основной капитал на душу населения в области составил 30,440 тыс. рублей, что гораздо выше уровня 2005 года, когда значение показателя достигало 13,647 тыс. рублей.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Обострение конкурентной борьбы за инвестора между регионами требует интенсификации процесса создания благоприятного инвестиционного климата.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невозможно эффективно решить проблему привлечения долгосрочных инвестиций в экономику области только за счет использования действующих рыночных механизмов. Это может быть осуществлено на основе программно-целевого метода, применение которого позволит обеспечить решение проблемы и рационально использовать ресурсы.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привлечения инвестиций, достигнуть положительной динамики в установленные сроки реализации Программы.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комплексного решения проблем программно-целевым методом обусловлена следующими объективными причинами: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сложность и многообразие проблемы создания благоприятного климата, предполагающие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выполнения в рамках единой программы крупных по объему и требующих длительных сроков реализации инвестиционных и научно-технических проектов;</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потребность в координации деятельности органов исполнительной власти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Рациональный, взвешенный подход к использованию ряда преимуществ, безусловно, дает возможность экономике области получить новые стимулы для динамичного развития, что в конечном итоге позволит обеспечить рост качества жизни населения Саратовской области.</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1"/>
        <w:rPr>
          <w:rFonts w:ascii="Calibri" w:hAnsi="Calibri" w:cs="Calibri"/>
        </w:rPr>
      </w:pPr>
      <w:bookmarkStart w:id="7" w:name="Par149"/>
      <w:bookmarkEnd w:id="7"/>
      <w:r>
        <w:rPr>
          <w:rFonts w:ascii="Calibri" w:hAnsi="Calibri" w:cs="Calibri"/>
        </w:rPr>
        <w:t>2. Цель и задачи Программы</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 - улучшение инвестиционного климата в области, обеспечивающее приток прямых иностранных и российских инвестиций в производственную деятельность на территории области и достижение устойчивого социально-экономического развития за счет эффективной инвестиционной политики.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Развитие механизмов административной среды и совершенствование нормативной правовой базы.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развитой инфраструктуры для комфортной реализации инвестиционных проектов.</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развитие финансовых механизмов привлечения и поддержки инвестиций.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Развитие взаимодействия субъектов предпринимательства. Поддержка продвижения на рынок инновационной продукции.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благоприятных тарифных условий для привлечения инвестиций.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Кадровое обеспечение инвестиционного процесса.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положительного имиджа области и продвижение бренда области.</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1"/>
        <w:rPr>
          <w:rFonts w:ascii="Calibri" w:hAnsi="Calibri" w:cs="Calibri"/>
        </w:rPr>
      </w:pPr>
      <w:bookmarkStart w:id="8" w:name="Par161"/>
      <w:bookmarkEnd w:id="8"/>
      <w:r>
        <w:rPr>
          <w:rFonts w:ascii="Calibri" w:hAnsi="Calibri" w:cs="Calibri"/>
        </w:rPr>
        <w:t>3. Система программных мероприятий</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Программы осуществляется путем скоординированного выполнения комплекса мероприятий. Система мероприятий Программы строится в соответствии со следующими принципами: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комплексности. Комплексная реализация Программы предполагает связанное и последовательное осуществление ее мер и координацию деятельности органов исполнительной власти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публичности предполагает широкое вовлечение и открытое обсуждение предпринимателями, инвесторами, финансовыми организациями и банками, экспертным сообществом, населением, а также масштабное информационно-презентационное освещение работы по формированию благоприятного инвестиционного имиджа области, хода реализации инвестиционных процессов.</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компетентности предполагает предоставление ведущих ролей на всех этапах инвестиционных процессов профессиональным бизнес-участникам и экспертному сообществу, высокую конкуренцию стратегий, концепций, подходов и мнений.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согласованности предполагает достижение высокой степени согласованности между основными участниками инвестиционного процесса.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Принцип использования естественных преимуществ области требует обоснованности и гармоничности предлагаемых стратегий и проектов, естественное использование сильных сторон и конкурентных преимуществ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Принцип сбалансированности и практической обоснованности стратегии развития области предполагает недопущение однонаправленного и чрезмерно специализированного развития экономики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Принцип эффективности предполагает учет соизмеримости затрачиваемых и используемых финансовых, инфраструктурных, человеческих, природных ресурсов с ожидаемым позитивным результатом и негативными последствиями.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Принцип концентрации на привлечении ключевых ("якорных") инвесторов предполагает аккумулирование усилий на инвесторах, формирующих промышленный или технологический кластер, а также стратегию на привлечение иностранных инвестиций как комплексного решения </w:t>
      </w:r>
      <w:r>
        <w:rPr>
          <w:rFonts w:ascii="Calibri" w:hAnsi="Calibri" w:cs="Calibri"/>
        </w:rPr>
        <w:lastRenderedPageBreak/>
        <w:t>вопросов получения технологий, финансирования, современного управления, развития рынка труда, развития спроса на полуфабрикаты и комплектующие.</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развитию механизмов административной среды и совершенствованию нормативной правовой базы предполагают:</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изменение, а в случае необходимости разработку пакета документов с целью устранения барьеров, препятствующих инвестиционной деятельности и привлечению инвестиций, в том числе нормативной правовой базы по государственно-частному партнерству, упрощению порядка предоставления преференций потенциальным субъектам инвестиционной деятельности на инвестиционные цели;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работы элементов областной инвестиционной инфраструктуры и определение направлений повышения ее эффективности, в том числе разработка регламента взаимодействия органов исполнительной власти области, направленного на обеспечение реализации приоритетных инвестиционных проектов области по принципу "одного окна", что позволит сократить сроки проведения подготовительных, согласительных и разрешительных процедур при подготовке и реализации инвестиционных проектов на территории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регионального центра государственно-частного партнерства;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обеспечению информационного сопровождения инвестиционной деятельности и получению обратной связи от субъектов инвестиционной деятельности о существующих инвестиционных барьерах и препятствиях.</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мероприятий является создание в области новых индустриальных парков, которые подразумевают собой обустроенные территории с развитой транспортной, инженерной, деловой инфраструктурой. Инвесторы получат комфортные условия для ведения бизнеса на подготовленном участке с подведенными коммуникациями, дорожными развязками. Таким образом, достигается значительное снижение производственных издержек частных инвесторов и, соответственно, возрастает инвестиционная привлекательность территории.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отслеживания деятельности индустриальных парков будет создана управляющая компания индустриальными парками области. Эта компания возьмет на себя функции управления, обслуживания, эксплуатации и содержания инфраструктурных объектов, расположенных на территории индустриальных парков.</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возможность повысить конкурентоспособность и инвестиционную привлекательность области за счет проводимой кластерной политики. С помощью постоянного обмена информацией, построения совместных программ развития, системно отработанной кооперации кластер становится мощным инструментом влияния на рыночные процессы, повышения конкурентоспособности отрасли и территории в целом.</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Вхождение предприятий в кластер выявляет огромные резервы, так как кластерные промышленные структуры являются наиболее успешной и эффективной моделью индустриальной организации.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Развитая транспортная инфраструктура - основа инвестиционной привлекательности области. От транспортной инфраструктуры зависит развитие и углубление межрегиональных связей. формирование полноценного внутреннего рынка и рациональное освоение наших природных ресурсов, эффективность работы и развития производства, бизнеса и социальной сферы. Проблемы недостаточной плотности имеющейся дорожной сети и ее высокой степени изношенности, представляющие собой серьезное препятствие для развития экономических отношений с другими регионами, решаются долгосрочной областной целевой </w:t>
      </w:r>
      <w:hyperlink r:id="rId20" w:history="1">
        <w:r>
          <w:rPr>
            <w:rFonts w:ascii="Calibri" w:hAnsi="Calibri" w:cs="Calibri"/>
            <w:color w:val="0000FF"/>
          </w:rPr>
          <w:t>программой</w:t>
        </w:r>
      </w:hyperlink>
      <w:r>
        <w:rPr>
          <w:rFonts w:ascii="Calibri" w:hAnsi="Calibri" w:cs="Calibri"/>
        </w:rPr>
        <w:t xml:space="preserve"> "Развитие транспортного комплекса Саратовской области на 2010 - 2015 годы". В </w:t>
      </w:r>
      <w:hyperlink r:id="rId21" w:history="1">
        <w:r>
          <w:rPr>
            <w:rFonts w:ascii="Calibri" w:hAnsi="Calibri" w:cs="Calibri"/>
            <w:color w:val="0000FF"/>
          </w:rPr>
          <w:t>программе</w:t>
        </w:r>
      </w:hyperlink>
      <w:r>
        <w:rPr>
          <w:rFonts w:ascii="Calibri" w:hAnsi="Calibri" w:cs="Calibri"/>
        </w:rPr>
        <w:t xml:space="preserve"> предусмотрен комплексный подход к решению проблемы развития сети автодорог, обеспечивающих транспортные потребности населения и предприятий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современных условиях для решения проблемы улучшения инвестиционного климата приобретает особую важность формирование и развитие финансовых механизмов привлечения и поддержки инвестиций. Мероприятия для эффективного содействия привлечению финансовых средств, в том числе внешнего финансирования, благодаря развитию системы взаимодействия с инвестиционными и венчурными фондами, банками, иностранными государственными инвестиционными агентствами, специализированными финансовыми учреждениями и организациями, лизинговыми компаниями, позволят обеспечить реализацию инвестиционных </w:t>
      </w:r>
      <w:r>
        <w:rPr>
          <w:rFonts w:ascii="Calibri" w:hAnsi="Calibri" w:cs="Calibri"/>
        </w:rPr>
        <w:lastRenderedPageBreak/>
        <w:t>проектов, имеющих приоритетный для экономики характер.</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Существенным фактором формирования благоприятной конкурентной среды для инвесторов и предпринимателей является ускоренное развитие малого и среднего бизнеса. Поддержка развития малого и среднего, в том числе инновационного предпринимательства будет осуществляться в соответствии с долгосрочной областной целевой </w:t>
      </w:r>
      <w:hyperlink r:id="rId22" w:history="1">
        <w:r>
          <w:rPr>
            <w:rFonts w:ascii="Calibri" w:hAnsi="Calibri" w:cs="Calibri"/>
            <w:color w:val="0000FF"/>
          </w:rPr>
          <w:t>программой</w:t>
        </w:r>
      </w:hyperlink>
      <w:r>
        <w:rPr>
          <w:rFonts w:ascii="Calibri" w:hAnsi="Calibri" w:cs="Calibri"/>
        </w:rPr>
        <w:t xml:space="preserve"> "Развитие малого и среднего предпринимательства в Саратовской области" на 2012 - 2015 годы.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Инновации, являясь резервом экономического развития, позволят обеспечить реализацию неиспользованных ранее возможностей роста производства, улучшения показателей его эффективности, расширения способности производства адекватно соответствовать общественным потребностям. Для решения задач инновационного развития реализуется областная инновационная научно-техническая </w:t>
      </w:r>
      <w:hyperlink r:id="rId23" w:history="1">
        <w:r>
          <w:rPr>
            <w:rFonts w:ascii="Calibri" w:hAnsi="Calibri" w:cs="Calibri"/>
            <w:color w:val="0000FF"/>
          </w:rPr>
          <w:t>программа</w:t>
        </w:r>
      </w:hyperlink>
      <w:r>
        <w:rPr>
          <w:rFonts w:ascii="Calibri" w:hAnsi="Calibri" w:cs="Calibri"/>
        </w:rPr>
        <w:t xml:space="preserve"> "Развитие высоких технологий в Саратовской области на 2010 - 2014 годы".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Немаловажная роль отводится в Программе мероприятиям по:</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квалификации работников органов исполнительной власти области, работающих в сфере привлечения инвестиций;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содействию инвесторам в подборе квалифицированного персонала;</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продвижению на российском и международном рынке инвестиций особо значимых инвестиционных проектов, реализуемых (планируемых к реализации) в области, инвестиционных площадок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проведению семинаров, круглых столов и иных мероприятий по проблемам инвестирования в экономику области, в том числе межрегиональных и международных;</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инвестиционных проектов области в инвестиционных программах региональных, межрегиональных, федеральных и международных финансовых институтов;</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участию области в форумах, выставках, ярмарках, направленных на повышение инвестиционной привлекательности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hyperlink w:anchor="Par238" w:history="1">
        <w:r>
          <w:rPr>
            <w:rFonts w:ascii="Calibri" w:hAnsi="Calibri" w:cs="Calibri"/>
            <w:color w:val="0000FF"/>
          </w:rPr>
          <w:t>Перечень</w:t>
        </w:r>
      </w:hyperlink>
      <w:r>
        <w:rPr>
          <w:rFonts w:ascii="Calibri" w:hAnsi="Calibri" w:cs="Calibri"/>
        </w:rPr>
        <w:t xml:space="preserve"> мероприятий приведен в приложении к Программе.</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1"/>
        <w:rPr>
          <w:rFonts w:ascii="Calibri" w:hAnsi="Calibri" w:cs="Calibri"/>
        </w:rPr>
      </w:pPr>
      <w:bookmarkStart w:id="9" w:name="Par194"/>
      <w:bookmarkEnd w:id="9"/>
      <w:r>
        <w:rPr>
          <w:rFonts w:ascii="Calibri" w:hAnsi="Calibri" w:cs="Calibri"/>
        </w:rPr>
        <w:t>4. Целевые индикаторы</w:t>
      </w:r>
    </w:p>
    <w:p w:rsidR="008628D6" w:rsidRDefault="008628D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318"/>
        <w:gridCol w:w="936"/>
        <w:gridCol w:w="936"/>
        <w:gridCol w:w="936"/>
      </w:tblGrid>
      <w:tr w:rsidR="008628D6">
        <w:tblPrEx>
          <w:tblCellMar>
            <w:top w:w="0" w:type="dxa"/>
            <w:bottom w:w="0" w:type="dxa"/>
          </w:tblCellMar>
        </w:tblPrEx>
        <w:trPr>
          <w:trHeight w:val="400"/>
          <w:tblCellSpacing w:w="5" w:type="nil"/>
        </w:trPr>
        <w:tc>
          <w:tcPr>
            <w:tcW w:w="6318"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Показатели                     </w:t>
            </w:r>
          </w:p>
        </w:tc>
        <w:tc>
          <w:tcPr>
            <w:tcW w:w="936"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2009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2010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936"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r>
      <w:tr w:rsidR="008628D6">
        <w:tblPrEx>
          <w:tblCellMar>
            <w:top w:w="0" w:type="dxa"/>
            <w:bottom w:w="0" w:type="dxa"/>
          </w:tblCellMar>
        </w:tblPrEx>
        <w:trPr>
          <w:trHeight w:val="400"/>
          <w:tblCellSpacing w:w="5" w:type="nil"/>
        </w:trPr>
        <w:tc>
          <w:tcPr>
            <w:tcW w:w="6318"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Среднегодовой объем инвестиций в основной капитал за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счет всех источников финансирования, млрд. рублей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67,7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78,1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   </w:t>
            </w:r>
          </w:p>
        </w:tc>
      </w:tr>
      <w:tr w:rsidR="008628D6">
        <w:tblPrEx>
          <w:tblCellMar>
            <w:top w:w="0" w:type="dxa"/>
            <w:bottom w:w="0" w:type="dxa"/>
          </w:tblCellMar>
        </w:tblPrEx>
        <w:trPr>
          <w:tblCellSpacing w:w="5" w:type="nil"/>
        </w:trPr>
        <w:tc>
          <w:tcPr>
            <w:tcW w:w="6318"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Инвестиции, среднегодовой темп роста, в процентах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80,2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112,3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114,1 </w:t>
            </w:r>
          </w:p>
        </w:tc>
      </w:tr>
      <w:tr w:rsidR="008628D6">
        <w:tblPrEx>
          <w:tblCellMar>
            <w:top w:w="0" w:type="dxa"/>
            <w:bottom w:w="0" w:type="dxa"/>
          </w:tblCellMar>
        </w:tblPrEx>
        <w:trPr>
          <w:trHeight w:val="800"/>
          <w:tblCellSpacing w:w="5" w:type="nil"/>
        </w:trPr>
        <w:tc>
          <w:tcPr>
            <w:tcW w:w="6318"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 отгруженных товаров собственного производства,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выполненных работ и  услуг  собственными  силами  по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видам  деятельности,  характеризующим   промышленное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производство, млрд. рублей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209,9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251,8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562,5 </w:t>
            </w:r>
          </w:p>
        </w:tc>
      </w:tr>
      <w:tr w:rsidR="008628D6">
        <w:tblPrEx>
          <w:tblCellMar>
            <w:top w:w="0" w:type="dxa"/>
            <w:bottom w:w="0" w:type="dxa"/>
          </w:tblCellMar>
        </w:tblPrEx>
        <w:trPr>
          <w:tblCellSpacing w:w="5" w:type="nil"/>
        </w:trPr>
        <w:tc>
          <w:tcPr>
            <w:tcW w:w="6318"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процентах к 2009 году в сопоставимых ценах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113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174   </w:t>
            </w:r>
          </w:p>
        </w:tc>
      </w:tr>
      <w:tr w:rsidR="008628D6">
        <w:tblPrEx>
          <w:tblCellMar>
            <w:top w:w="0" w:type="dxa"/>
            <w:bottom w:w="0" w:type="dxa"/>
          </w:tblCellMar>
        </w:tblPrEx>
        <w:trPr>
          <w:tblCellSpacing w:w="5" w:type="nil"/>
        </w:trPr>
        <w:tc>
          <w:tcPr>
            <w:tcW w:w="6318"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Продукция сельского хозяйства, млрд. рублей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64,0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69,7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122,9 </w:t>
            </w:r>
          </w:p>
        </w:tc>
      </w:tr>
      <w:tr w:rsidR="008628D6">
        <w:tblPrEx>
          <w:tblCellMar>
            <w:top w:w="0" w:type="dxa"/>
            <w:bottom w:w="0" w:type="dxa"/>
          </w:tblCellMar>
        </w:tblPrEx>
        <w:trPr>
          <w:tblCellSpacing w:w="5" w:type="nil"/>
        </w:trPr>
        <w:tc>
          <w:tcPr>
            <w:tcW w:w="6318"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Среднегодовой темп роста, в процентах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100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77,4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125,1 </w:t>
            </w:r>
          </w:p>
        </w:tc>
      </w:tr>
    </w:tbl>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outlineLvl w:val="1"/>
        <w:rPr>
          <w:rFonts w:ascii="Calibri" w:hAnsi="Calibri" w:cs="Calibri"/>
        </w:rPr>
      </w:pPr>
      <w:bookmarkStart w:id="10" w:name="Par217"/>
      <w:bookmarkEnd w:id="10"/>
      <w:r>
        <w:rPr>
          <w:rFonts w:ascii="Calibri" w:hAnsi="Calibri" w:cs="Calibri"/>
        </w:rPr>
        <w:t>5. Организация управления реализацией Программы</w:t>
      </w:r>
    </w:p>
    <w:p w:rsidR="008628D6" w:rsidRDefault="008628D6">
      <w:pPr>
        <w:widowControl w:val="0"/>
        <w:autoSpaceDE w:val="0"/>
        <w:autoSpaceDN w:val="0"/>
        <w:adjustRightInd w:val="0"/>
        <w:spacing w:after="0" w:line="240" w:lineRule="auto"/>
        <w:jc w:val="center"/>
        <w:rPr>
          <w:rFonts w:ascii="Calibri" w:hAnsi="Calibri" w:cs="Calibri"/>
        </w:rPr>
      </w:pPr>
      <w:r>
        <w:rPr>
          <w:rFonts w:ascii="Calibri" w:hAnsi="Calibri" w:cs="Calibri"/>
        </w:rPr>
        <w:t>и контроль за ходом ее выполнения</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ходом реализации Программы осуществляет министерство инвестиционной политики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Программы министерство инвестиционной политики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межведомственную координацию работ по выполнению программных мероприятий;</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 мониторинг реализации Программы и составляет итоговые отчеты, которые представляются в Правительство области;</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подготавливает предложения по корректировке Программы;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наиболее эффективные формы и процедуры организации работ по реализации Программы;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оценивает эффективность реализации Программы.</w:t>
      </w:r>
    </w:p>
    <w:p w:rsidR="008628D6" w:rsidRDefault="008628D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программных мероприятий осуществляют текущее управление реализацией Программы и ежеквартально, в срок до 5 числа месяца, следующего за отчетным периодом, представляют отчеты об исполнении мероприятий в министерство инвестиционной политики области, а по итогам реализации Программы в срок до 1 марта 2016 года представляет информацию о достижении целевых индикаторов реализации Программы для ее оценки и обобщения.</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right"/>
        <w:outlineLvl w:val="1"/>
        <w:rPr>
          <w:rFonts w:ascii="Calibri" w:hAnsi="Calibri" w:cs="Calibri"/>
        </w:rPr>
      </w:pPr>
      <w:bookmarkStart w:id="11" w:name="Par233"/>
      <w:bookmarkEnd w:id="11"/>
      <w:r>
        <w:rPr>
          <w:rFonts w:ascii="Calibri" w:hAnsi="Calibri" w:cs="Calibri"/>
        </w:rPr>
        <w:t>Приложение</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к областной программе</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"Повышение инвестиционной привлекательности</w:t>
      </w:r>
    </w:p>
    <w:p w:rsidR="008628D6" w:rsidRDefault="008628D6">
      <w:pPr>
        <w:widowControl w:val="0"/>
        <w:autoSpaceDE w:val="0"/>
        <w:autoSpaceDN w:val="0"/>
        <w:adjustRightInd w:val="0"/>
        <w:spacing w:after="0" w:line="240" w:lineRule="auto"/>
        <w:jc w:val="right"/>
        <w:rPr>
          <w:rFonts w:ascii="Calibri" w:hAnsi="Calibri" w:cs="Calibri"/>
        </w:rPr>
      </w:pPr>
      <w:r>
        <w:rPr>
          <w:rFonts w:ascii="Calibri" w:hAnsi="Calibri" w:cs="Calibri"/>
        </w:rPr>
        <w:t>Саратовской области на 2012 - 2015 годы"</w:t>
      </w: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center"/>
        <w:rPr>
          <w:rFonts w:ascii="Calibri" w:hAnsi="Calibri" w:cs="Calibri"/>
          <w:b/>
          <w:bCs/>
        </w:rPr>
      </w:pPr>
      <w:bookmarkStart w:id="12" w:name="Par238"/>
      <w:bookmarkEnd w:id="12"/>
      <w:r>
        <w:rPr>
          <w:rFonts w:ascii="Calibri" w:hAnsi="Calibri" w:cs="Calibri"/>
          <w:b/>
          <w:bCs/>
        </w:rPr>
        <w:t>ПЛАН МЕРОПРИЯТИЙ</w:t>
      </w: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ПРОГРАММЫ "ПОВЫШЕНИЕ ИНВЕСТИЦИОННОЙ</w:t>
      </w:r>
    </w:p>
    <w:p w:rsidR="008628D6" w:rsidRDefault="008628D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ПРИВЛЕКАТЕЛЬНОСТИ САРАТОВСКОЙ ОБЛАСТИ" НА 2012 - 2015 ГОДЫ</w:t>
      </w:r>
    </w:p>
    <w:p w:rsidR="008628D6" w:rsidRDefault="008628D6">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574"/>
        <w:gridCol w:w="2691"/>
        <w:gridCol w:w="936"/>
        <w:gridCol w:w="2925"/>
      </w:tblGrid>
      <w:tr w:rsidR="008628D6">
        <w:tblPrEx>
          <w:tblCellMar>
            <w:top w:w="0" w:type="dxa"/>
            <w:bottom w:w="0" w:type="dxa"/>
          </w:tblCellMar>
        </w:tblPrEx>
        <w:trPr>
          <w:trHeight w:val="600"/>
          <w:tblCellSpacing w:w="5" w:type="nil"/>
        </w:trPr>
        <w:tc>
          <w:tcPr>
            <w:tcW w:w="2574"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мероприятия     </w:t>
            </w:r>
          </w:p>
        </w:tc>
        <w:tc>
          <w:tcPr>
            <w:tcW w:w="2691"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Исполнитель     </w:t>
            </w:r>
          </w:p>
        </w:tc>
        <w:tc>
          <w:tcPr>
            <w:tcW w:w="936"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зации </w:t>
            </w:r>
          </w:p>
        </w:tc>
        <w:tc>
          <w:tcPr>
            <w:tcW w:w="2925" w:type="dxa"/>
            <w:tcBorders>
              <w:top w:val="single" w:sz="8" w:space="0" w:color="auto"/>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Ожидаемый результат  </w:t>
            </w:r>
          </w:p>
        </w:tc>
      </w:tr>
      <w:tr w:rsidR="008628D6">
        <w:tblPrEx>
          <w:tblCellMar>
            <w:top w:w="0" w:type="dxa"/>
            <w:bottom w:w="0" w:type="dxa"/>
          </w:tblCellMar>
        </w:tblPrEx>
        <w:trPr>
          <w:trHeight w:val="400"/>
          <w:tblCellSpacing w:w="5" w:type="nil"/>
        </w:trPr>
        <w:tc>
          <w:tcPr>
            <w:tcW w:w="9126" w:type="dxa"/>
            <w:gridSpan w:val="4"/>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outlineLvl w:val="2"/>
              <w:rPr>
                <w:rFonts w:ascii="Courier New" w:hAnsi="Courier New" w:cs="Courier New"/>
                <w:sz w:val="20"/>
                <w:szCs w:val="20"/>
              </w:rPr>
            </w:pPr>
            <w:bookmarkStart w:id="13" w:name="Par247"/>
            <w:bookmarkEnd w:id="13"/>
            <w:r>
              <w:rPr>
                <w:rFonts w:ascii="Courier New" w:hAnsi="Courier New" w:cs="Courier New"/>
                <w:sz w:val="20"/>
                <w:szCs w:val="20"/>
              </w:rPr>
              <w:t xml:space="preserve">Задача 1. Развитие механизмов административной среды и совершенствование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нормативной правовой базы                        </w:t>
            </w:r>
          </w:p>
        </w:tc>
      </w:tr>
      <w:tr w:rsidR="008628D6">
        <w:tblPrEx>
          <w:tblCellMar>
            <w:top w:w="0" w:type="dxa"/>
            <w:bottom w:w="0" w:type="dxa"/>
          </w:tblCellMar>
        </w:tblPrEx>
        <w:trPr>
          <w:trHeight w:val="22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Совершенствование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нормативной правовой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базы,   направленной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развитие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привлечения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инвестиций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частного партнерства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и торговли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для инвесторов </w:t>
            </w:r>
          </w:p>
        </w:tc>
      </w:tr>
      <w:tr w:rsidR="008628D6">
        <w:tblPrEx>
          <w:tblCellMar>
            <w:top w:w="0" w:type="dxa"/>
            <w:bottom w:w="0" w:type="dxa"/>
          </w:tblCellMar>
        </w:tblPrEx>
        <w:trPr>
          <w:trHeight w:val="22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1.2.      Разработка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области  при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подготовке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на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сокращение сроков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подготовительных,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согласительных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разрешительных процедур</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подготовке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проектов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территории области  </w:t>
            </w:r>
          </w:p>
        </w:tc>
      </w:tr>
      <w:tr w:rsidR="008628D6">
        <w:tblPrEx>
          <w:tblCellMar>
            <w:top w:w="0" w:type="dxa"/>
            <w:bottom w:w="0" w:type="dxa"/>
          </w:tblCellMar>
        </w:tblPrEx>
        <w:trPr>
          <w:trHeight w:val="38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1.3.    Формирование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базы         данных,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отражающей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результаты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прохождения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проектами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процедур          на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официальном    сайте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сети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Интернет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информатизации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внедрение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автоматизированной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информационной системы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"Мониторинг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для ведения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сводного перечня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проектов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с учетом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оперативных отчетов 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разрезе по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контролируемым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элементам, позволяющей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инвестору отслеживать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режиме "on-line"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прохождение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регламентных процедур  </w:t>
            </w:r>
          </w:p>
        </w:tc>
      </w:tr>
      <w:tr w:rsidR="008628D6">
        <w:tblPrEx>
          <w:tblCellMar>
            <w:top w:w="0" w:type="dxa"/>
            <w:bottom w:w="0" w:type="dxa"/>
          </w:tblCellMar>
        </w:tblPrEx>
        <w:trPr>
          <w:trHeight w:val="22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1.4.      Разработка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рекомендаций     для</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органов     местного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самоуправления    по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взаимодействия     с</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хозяйствующими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субъектами       при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политики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министерство по делам</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территориальных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формирование в органах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местного самоуправления</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механизма привлечения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tc>
      </w:tr>
      <w:tr w:rsidR="008628D6">
        <w:tblPrEx>
          <w:tblCellMar>
            <w:top w:w="0" w:type="dxa"/>
            <w:bottom w:w="0" w:type="dxa"/>
          </w:tblCellMar>
        </w:tblPrEx>
        <w:trPr>
          <w:trHeight w:val="400"/>
          <w:tblCellSpacing w:w="5" w:type="nil"/>
        </w:trPr>
        <w:tc>
          <w:tcPr>
            <w:tcW w:w="9126" w:type="dxa"/>
            <w:gridSpan w:val="4"/>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outlineLvl w:val="2"/>
              <w:rPr>
                <w:rFonts w:ascii="Courier New" w:hAnsi="Courier New" w:cs="Courier New"/>
                <w:sz w:val="20"/>
                <w:szCs w:val="20"/>
              </w:rPr>
            </w:pPr>
            <w:bookmarkStart w:id="14" w:name="Par306"/>
            <w:bookmarkEnd w:id="14"/>
            <w:r>
              <w:rPr>
                <w:rFonts w:ascii="Courier New" w:hAnsi="Courier New" w:cs="Courier New"/>
                <w:sz w:val="20"/>
                <w:szCs w:val="20"/>
              </w:rPr>
              <w:t xml:space="preserve"> Задача 2. Подготовка развитой инфраструктуры для комфортной реализации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инвестиционных проектов                         </w:t>
            </w:r>
          </w:p>
        </w:tc>
      </w:tr>
      <w:tr w:rsidR="008628D6">
        <w:tblPrEx>
          <w:tblCellMar>
            <w:top w:w="0" w:type="dxa"/>
            <w:bottom w:w="0" w:type="dxa"/>
          </w:tblCellMar>
        </w:tblPrEx>
        <w:trPr>
          <w:trHeight w:val="10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2.1.        Развитие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индустриальных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парков на территории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в   рамках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действующих программ</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концепций,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эскизных и рабочих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индустриальных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парков                 </w:t>
            </w:r>
          </w:p>
        </w:tc>
      </w:tr>
      <w:tr w:rsidR="008628D6">
        <w:tblPrEx>
          <w:tblCellMar>
            <w:top w:w="0" w:type="dxa"/>
            <w:bottom w:w="0" w:type="dxa"/>
          </w:tblCellMar>
        </w:tblPrEx>
        <w:trPr>
          <w:trHeight w:val="8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2.2. Создание единой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системы формирования</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кластеров на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628D6">
        <w:tblPrEx>
          <w:tblCellMar>
            <w:top w:w="0" w:type="dxa"/>
            <w:bottom w:w="0" w:type="dxa"/>
          </w:tblCellMar>
        </w:tblPrEx>
        <w:trPr>
          <w:trHeight w:val="32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2.3.  Разработка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внедрение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механизмов,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позволяющих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планировать развитие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дорожно-транспортной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инфраструктуры,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исходя            из</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потребностей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инвесторов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транспорта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дорожного хозяйства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модернизация объектов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дорожно-транспортной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инфраструктуры с учетом</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размещения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проектов, разработка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концепции развития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придорожного сервиса 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 размещения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объектов придорожного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сервиса вдоль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автомобильных дорог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общего пользования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регионального или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межмуниципального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значения               </w:t>
            </w:r>
          </w:p>
        </w:tc>
      </w:tr>
      <w:tr w:rsidR="008628D6">
        <w:tblPrEx>
          <w:tblCellMar>
            <w:top w:w="0" w:type="dxa"/>
            <w:bottom w:w="0" w:type="dxa"/>
          </w:tblCellMar>
        </w:tblPrEx>
        <w:trPr>
          <w:trHeight w:val="18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2.4.     Обеспечение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доступа   на   рынки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сбыта продукции  при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с   учетом</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действующего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антимонопольного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и торговли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для инвесторов </w:t>
            </w:r>
          </w:p>
        </w:tc>
      </w:tr>
      <w:tr w:rsidR="008628D6">
        <w:tblPrEx>
          <w:tblCellMar>
            <w:top w:w="0" w:type="dxa"/>
            <w:bottom w:w="0" w:type="dxa"/>
          </w:tblCellMar>
        </w:tblPrEx>
        <w:trPr>
          <w:trHeight w:val="400"/>
          <w:tblCellSpacing w:w="5" w:type="nil"/>
        </w:trPr>
        <w:tc>
          <w:tcPr>
            <w:tcW w:w="9126" w:type="dxa"/>
            <w:gridSpan w:val="4"/>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outlineLvl w:val="2"/>
              <w:rPr>
                <w:rFonts w:ascii="Courier New" w:hAnsi="Courier New" w:cs="Courier New"/>
                <w:sz w:val="20"/>
                <w:szCs w:val="20"/>
              </w:rPr>
            </w:pPr>
            <w:bookmarkStart w:id="15" w:name="Par347"/>
            <w:bookmarkEnd w:id="15"/>
            <w:r>
              <w:rPr>
                <w:rFonts w:ascii="Courier New" w:hAnsi="Courier New" w:cs="Courier New"/>
                <w:sz w:val="20"/>
                <w:szCs w:val="20"/>
              </w:rPr>
              <w:t xml:space="preserve">  Задача 3. Формирование и развитие финансовых механизмов привлечения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поддержки инвестиций                           </w:t>
            </w:r>
          </w:p>
        </w:tc>
      </w:tr>
      <w:tr w:rsidR="008628D6">
        <w:tblPrEx>
          <w:tblCellMar>
            <w:top w:w="0" w:type="dxa"/>
            <w:bottom w:w="0" w:type="dxa"/>
          </w:tblCellMar>
        </w:tblPrEx>
        <w:trPr>
          <w:trHeight w:val="32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3.1.     Обеспечение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с</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инвестиционными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венчурными  фондами,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банками,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иностранными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агентствами,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специализированными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учреждениями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лизинговыми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компаниями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алгоритма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инвестора с финансовыми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структурами, подписание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соглашений с целью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возможностей по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финансированию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поддержке инвестиций на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территории области     </w:t>
            </w:r>
          </w:p>
        </w:tc>
      </w:tr>
      <w:tr w:rsidR="008628D6">
        <w:tblPrEx>
          <w:tblCellMar>
            <w:top w:w="0" w:type="dxa"/>
            <w:bottom w:w="0" w:type="dxa"/>
          </w:tblCellMar>
        </w:tblPrEx>
        <w:trPr>
          <w:trHeight w:val="24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3.2.      Содействие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созданию          на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территории   области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бизнес-инкубаторов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для     практической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реализации  научного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потенциала студентов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ВУЗов с привлечением</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исследовательских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институтов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организаций 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комитет по молодежной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политике, охране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культурного наследия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 туризму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разработка программы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поддержки молодежного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содействие подписанию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соглашений между ВУЗами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предприятиями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реального сектора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tc>
      </w:tr>
      <w:tr w:rsidR="008628D6">
        <w:tblPrEx>
          <w:tblCellMar>
            <w:top w:w="0" w:type="dxa"/>
            <w:bottom w:w="0" w:type="dxa"/>
          </w:tblCellMar>
        </w:tblPrEx>
        <w:trPr>
          <w:trHeight w:val="24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3.3.        Развитие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взаимодействия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Правительства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с     ГК</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"Роснанотех"      по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вопросам    развития</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наноиндустрии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области  продвижения</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научно-технических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разработок,  готовых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освоению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производстве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создание  благоприятных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условий для инвесторов </w:t>
            </w:r>
          </w:p>
        </w:tc>
      </w:tr>
      <w:tr w:rsidR="008628D6">
        <w:tblPrEx>
          <w:tblCellMar>
            <w:top w:w="0" w:type="dxa"/>
            <w:bottom w:w="0" w:type="dxa"/>
          </w:tblCellMar>
        </w:tblPrEx>
        <w:trPr>
          <w:trHeight w:val="400"/>
          <w:tblCellSpacing w:w="5" w:type="nil"/>
        </w:trPr>
        <w:tc>
          <w:tcPr>
            <w:tcW w:w="9126" w:type="dxa"/>
            <w:gridSpan w:val="4"/>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outlineLvl w:val="2"/>
              <w:rPr>
                <w:rFonts w:ascii="Courier New" w:hAnsi="Courier New" w:cs="Courier New"/>
                <w:sz w:val="20"/>
                <w:szCs w:val="20"/>
              </w:rPr>
            </w:pPr>
            <w:bookmarkStart w:id="16" w:name="Par393"/>
            <w:bookmarkEnd w:id="16"/>
            <w:r>
              <w:rPr>
                <w:rFonts w:ascii="Courier New" w:hAnsi="Courier New" w:cs="Courier New"/>
                <w:sz w:val="20"/>
                <w:szCs w:val="20"/>
              </w:rPr>
              <w:t xml:space="preserve">    Задача 4. Развитие взаимодействия субъектов предпринимательства.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Поддержка продвижения на рынок инновационной продукции          </w:t>
            </w:r>
          </w:p>
        </w:tc>
      </w:tr>
      <w:tr w:rsidR="008628D6">
        <w:tblPrEx>
          <w:tblCellMar>
            <w:top w:w="0" w:type="dxa"/>
            <w:bottom w:w="0" w:type="dxa"/>
          </w:tblCellMar>
        </w:tblPrEx>
        <w:trPr>
          <w:trHeight w:val="20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4.1.       Поддержка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развития  малого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среднего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предпринимательства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промышленности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энергетики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количества малых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Рост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 предприятий на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технологические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инновации. Рост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реализованных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инновационных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бизнес-проектов        </w:t>
            </w:r>
          </w:p>
        </w:tc>
      </w:tr>
      <w:tr w:rsidR="008628D6">
        <w:tblPrEx>
          <w:tblCellMar>
            <w:top w:w="0" w:type="dxa"/>
            <w:bottom w:w="0" w:type="dxa"/>
          </w:tblCellMar>
        </w:tblPrEx>
        <w:trPr>
          <w:trHeight w:val="400"/>
          <w:tblCellSpacing w:w="5" w:type="nil"/>
        </w:trPr>
        <w:tc>
          <w:tcPr>
            <w:tcW w:w="9126" w:type="dxa"/>
            <w:gridSpan w:val="4"/>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outlineLvl w:val="2"/>
              <w:rPr>
                <w:rFonts w:ascii="Courier New" w:hAnsi="Courier New" w:cs="Courier New"/>
                <w:sz w:val="20"/>
                <w:szCs w:val="20"/>
              </w:rPr>
            </w:pPr>
            <w:bookmarkStart w:id="17" w:name="Par407"/>
            <w:bookmarkEnd w:id="17"/>
            <w:r>
              <w:rPr>
                <w:rFonts w:ascii="Courier New" w:hAnsi="Courier New" w:cs="Courier New"/>
                <w:sz w:val="20"/>
                <w:szCs w:val="20"/>
              </w:rPr>
              <w:lastRenderedPageBreak/>
              <w:t xml:space="preserve">  Задача 5. Формирование благоприятных тарифных условий для привлечения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инвестиций                                </w:t>
            </w:r>
          </w:p>
        </w:tc>
      </w:tr>
      <w:tr w:rsidR="008628D6">
        <w:tblPrEx>
          <w:tblCellMar>
            <w:top w:w="0" w:type="dxa"/>
            <w:bottom w:w="0" w:type="dxa"/>
          </w:tblCellMar>
        </w:tblPrEx>
        <w:trPr>
          <w:trHeight w:val="22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5.1.          Анализ</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использования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ресурсов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коммунального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комплекса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субъектами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естественных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монополий        при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установлении тарифов</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строительства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жилищно-коммунального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хозяйства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государственного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регулирования тарифов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2014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обоснованных тарифов.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Реализация требований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об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энергосбережении.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энергетической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эффективности во всех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сферах экономики       </w:t>
            </w:r>
          </w:p>
        </w:tc>
      </w:tr>
      <w:tr w:rsidR="008628D6">
        <w:tblPrEx>
          <w:tblCellMar>
            <w:top w:w="0" w:type="dxa"/>
            <w:bottom w:w="0" w:type="dxa"/>
          </w:tblCellMar>
        </w:tblPrEx>
        <w:trPr>
          <w:trHeight w:val="16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5.2.  Субсидирование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части затрат малых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средних  предприятий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присоединению  к</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объектам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электросетевого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хозяйства  в  рамках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действующих программ</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экономического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развития и торговли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снижение затрат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конкурентоспособности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малых и средних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w:t>
            </w:r>
          </w:p>
        </w:tc>
      </w:tr>
      <w:tr w:rsidR="008628D6">
        <w:tblPrEx>
          <w:tblCellMar>
            <w:top w:w="0" w:type="dxa"/>
            <w:bottom w:w="0" w:type="dxa"/>
          </w:tblCellMar>
        </w:tblPrEx>
        <w:trPr>
          <w:tblCellSpacing w:w="5" w:type="nil"/>
        </w:trPr>
        <w:tc>
          <w:tcPr>
            <w:tcW w:w="9126" w:type="dxa"/>
            <w:gridSpan w:val="4"/>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outlineLvl w:val="2"/>
              <w:rPr>
                <w:rFonts w:ascii="Courier New" w:hAnsi="Courier New" w:cs="Courier New"/>
                <w:sz w:val="20"/>
                <w:szCs w:val="20"/>
              </w:rPr>
            </w:pPr>
            <w:bookmarkStart w:id="18" w:name="Par431"/>
            <w:bookmarkEnd w:id="18"/>
            <w:r>
              <w:rPr>
                <w:rFonts w:ascii="Courier New" w:hAnsi="Courier New" w:cs="Courier New"/>
                <w:sz w:val="20"/>
                <w:szCs w:val="20"/>
              </w:rPr>
              <w:t xml:space="preserve">         Задача 6. Кадровое обеспечение инвестиционного процесса         </w:t>
            </w:r>
          </w:p>
        </w:tc>
      </w:tr>
      <w:tr w:rsidR="008628D6">
        <w:tblPrEx>
          <w:tblCellMar>
            <w:top w:w="0" w:type="dxa"/>
            <w:bottom w:w="0" w:type="dxa"/>
          </w:tblCellMar>
        </w:tblPrEx>
        <w:trPr>
          <w:trHeight w:val="14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6.1.    Участие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конференций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круглых  столов   по</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проблемам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инвестирования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экономику 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изучение опыта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деятельности. Повышение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628D6">
        <w:tblPrEx>
          <w:tblCellMar>
            <w:top w:w="0" w:type="dxa"/>
            <w:bottom w:w="0" w:type="dxa"/>
          </w:tblCellMar>
        </w:tblPrEx>
        <w:trPr>
          <w:trHeight w:val="14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6.2.  Подготовка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переподготовка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кадров       органов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области,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работающих  в  сфере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инвестиций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квалификации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кадров органов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власти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628D6">
        <w:tblPrEx>
          <w:tblCellMar>
            <w:top w:w="0" w:type="dxa"/>
            <w:bottom w:w="0" w:type="dxa"/>
          </w:tblCellMar>
        </w:tblPrEx>
        <w:trPr>
          <w:trHeight w:val="26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6.3.   Развитие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поддержка механизмов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ориентирования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сфере образования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зависимости       от</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потребностей рынка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реализуемых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Содействие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инвесторам в подборе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квалифицированного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персонала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образования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628D6">
        <w:tblPrEx>
          <w:tblCellMar>
            <w:top w:w="0" w:type="dxa"/>
            <w:bottom w:w="0" w:type="dxa"/>
          </w:tblCellMar>
        </w:tblPrEx>
        <w:trPr>
          <w:trHeight w:val="400"/>
          <w:tblCellSpacing w:w="5" w:type="nil"/>
        </w:trPr>
        <w:tc>
          <w:tcPr>
            <w:tcW w:w="9126" w:type="dxa"/>
            <w:gridSpan w:val="4"/>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outlineLvl w:val="2"/>
              <w:rPr>
                <w:rFonts w:ascii="Courier New" w:hAnsi="Courier New" w:cs="Courier New"/>
                <w:sz w:val="20"/>
                <w:szCs w:val="20"/>
              </w:rPr>
            </w:pPr>
            <w:bookmarkStart w:id="19" w:name="Par463"/>
            <w:bookmarkEnd w:id="19"/>
            <w:r>
              <w:rPr>
                <w:rFonts w:ascii="Courier New" w:hAnsi="Courier New" w:cs="Courier New"/>
                <w:sz w:val="20"/>
                <w:szCs w:val="20"/>
              </w:rPr>
              <w:t xml:space="preserve">   Задача 7. Формирование положительного имиджа Саратовской области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продвижение бренда области                        </w:t>
            </w:r>
          </w:p>
        </w:tc>
      </w:tr>
      <w:tr w:rsidR="008628D6">
        <w:tblPrEx>
          <w:tblCellMar>
            <w:top w:w="0" w:type="dxa"/>
            <w:bottom w:w="0" w:type="dxa"/>
          </w:tblCellMar>
        </w:tblPrEx>
        <w:trPr>
          <w:trHeight w:val="26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7.1.         Участие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руководителей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исполнительной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власти   области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тематических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международных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российских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инвестиционных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экономических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форумах,   саммитах,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выставках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конференциях.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улучшение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имиджа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информирование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потенциальных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инвесторов об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инвестиционном климате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628D6">
        <w:tblPrEx>
          <w:tblCellMar>
            <w:top w:w="0" w:type="dxa"/>
            <w:bottom w:w="0" w:type="dxa"/>
          </w:tblCellMar>
        </w:tblPrEx>
        <w:trPr>
          <w:trHeight w:val="8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7.2.         Издание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паспорта Саратовской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628D6">
        <w:tblPrEx>
          <w:tblCellMar>
            <w:top w:w="0" w:type="dxa"/>
            <w:bottom w:w="0" w:type="dxa"/>
          </w:tblCellMar>
        </w:tblPrEx>
        <w:trPr>
          <w:trHeight w:val="24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7.3.  Проведение   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участие  в  форумах,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конференциях,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выставках, ярмарках,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направленных      на</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продвижение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инвестиционного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потенциала  области,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проектов,  продукции</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услуг  предприятий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привлекательности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tc>
      </w:tr>
      <w:tr w:rsidR="008628D6">
        <w:tblPrEx>
          <w:tblCellMar>
            <w:top w:w="0" w:type="dxa"/>
            <w:bottom w:w="0" w:type="dxa"/>
          </w:tblCellMar>
        </w:tblPrEx>
        <w:trPr>
          <w:trHeight w:val="1800"/>
          <w:tblCellSpacing w:w="5" w:type="nil"/>
        </w:trPr>
        <w:tc>
          <w:tcPr>
            <w:tcW w:w="2574"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7.4.  Размещение   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средствах   массовой</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информации,  в   том</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числе     каталогах,</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сборниках материалов</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    инвестиционном</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потенциале области  </w:t>
            </w:r>
          </w:p>
        </w:tc>
        <w:tc>
          <w:tcPr>
            <w:tcW w:w="2691"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инвестиционной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политики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комитет по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информатизации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министерство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информации и печати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области       </w:t>
            </w:r>
          </w:p>
        </w:tc>
        <w:tc>
          <w:tcPr>
            <w:tcW w:w="936"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2012 -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2015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годы </w:t>
            </w:r>
          </w:p>
        </w:tc>
        <w:tc>
          <w:tcPr>
            <w:tcW w:w="2925" w:type="dxa"/>
            <w:tcBorders>
              <w:left w:val="single" w:sz="8" w:space="0" w:color="auto"/>
              <w:bottom w:val="single" w:sz="8" w:space="0" w:color="auto"/>
              <w:right w:val="single" w:sz="8" w:space="0" w:color="auto"/>
            </w:tcBorders>
          </w:tcPr>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и размещение</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информации об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w:t>
            </w:r>
          </w:p>
          <w:p w:rsidR="008628D6" w:rsidRDefault="008628D6">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возможностях области   </w:t>
            </w:r>
          </w:p>
        </w:tc>
      </w:tr>
    </w:tbl>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autoSpaceDE w:val="0"/>
        <w:autoSpaceDN w:val="0"/>
        <w:adjustRightInd w:val="0"/>
        <w:spacing w:after="0" w:line="240" w:lineRule="auto"/>
        <w:jc w:val="both"/>
        <w:rPr>
          <w:rFonts w:ascii="Calibri" w:hAnsi="Calibri" w:cs="Calibri"/>
        </w:rPr>
      </w:pPr>
    </w:p>
    <w:p w:rsidR="008628D6" w:rsidRDefault="008628D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8628D6"/>
    <w:sectPr w:rsidR="00AB2870" w:rsidSect="00041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8628D6"/>
    <w:rsid w:val="00312FB2"/>
    <w:rsid w:val="00334B2F"/>
    <w:rsid w:val="005038A2"/>
    <w:rsid w:val="007549A9"/>
    <w:rsid w:val="008628D6"/>
    <w:rsid w:val="008B634C"/>
    <w:rsid w:val="00BA3D80"/>
    <w:rsid w:val="00BC7C24"/>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DAA0E5D894589AB4553DC919BC88839705855766675A0FD101D409415EA7EEJEe6M" TargetMode="External"/><Relationship Id="rId13" Type="http://schemas.openxmlformats.org/officeDocument/2006/relationships/hyperlink" Target="consultantplus://offline/ref=AADAA0E5D894589AB4553DC919BC88839705855763655A0FD601D409415EA7EEJEe6M" TargetMode="External"/><Relationship Id="rId18" Type="http://schemas.openxmlformats.org/officeDocument/2006/relationships/hyperlink" Target="consultantplus://offline/ref=AADAA0E5D894589AB4553DC919BC88839705855765605907D301D409415EA7EEJEe6M" TargetMode="External"/><Relationship Id="rId3" Type="http://schemas.openxmlformats.org/officeDocument/2006/relationships/webSettings" Target="webSettings.xml"/><Relationship Id="rId21" Type="http://schemas.openxmlformats.org/officeDocument/2006/relationships/hyperlink" Target="consultantplus://offline/ref=AADAA0E5D894589AB4553DC919BC88839705855766655C01D201D409415EA7EEE64299DE9E8EE5C0E1B8ECJDe9M" TargetMode="External"/><Relationship Id="rId7" Type="http://schemas.openxmlformats.org/officeDocument/2006/relationships/hyperlink" Target="consultantplus://offline/ref=AADAA0E5D894589AB4553DC919BC88839705855766665A0FD701D409415EA7EEJEe6M" TargetMode="External"/><Relationship Id="rId12" Type="http://schemas.openxmlformats.org/officeDocument/2006/relationships/hyperlink" Target="consultantplus://offline/ref=AADAA0E5D894589AB4553DC919BC88839705855762655F00DC01D409415EA7EEJEe6M" TargetMode="External"/><Relationship Id="rId17" Type="http://schemas.openxmlformats.org/officeDocument/2006/relationships/hyperlink" Target="consultantplus://offline/ref=AADAA0E5D894589AB4553DC919BC88839705855763645C05D501D409415EA7EEJEe6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AADAA0E5D894589AB4553DC919BC88839705855765625F07D601D409415EA7EEJEe6M" TargetMode="External"/><Relationship Id="rId20" Type="http://schemas.openxmlformats.org/officeDocument/2006/relationships/hyperlink" Target="consultantplus://offline/ref=AADAA0E5D894589AB4553DC919BC88839705855766655C01D201D409415EA7EEE64299DE9E8EE5C0E1B8ECJDe9M" TargetMode="External"/><Relationship Id="rId1" Type="http://schemas.openxmlformats.org/officeDocument/2006/relationships/styles" Target="styles.xml"/><Relationship Id="rId6" Type="http://schemas.openxmlformats.org/officeDocument/2006/relationships/hyperlink" Target="consultantplus://offline/ref=AADAA0E5D894589AB4553DC919BC88839705855766655F00D501D409415EA7EEE64299DE9E8EE5C0E1B8EDJDe3M" TargetMode="External"/><Relationship Id="rId11" Type="http://schemas.openxmlformats.org/officeDocument/2006/relationships/hyperlink" Target="consultantplus://offline/ref=AADAA0E5D894589AB4553DC919BC888397058557606E5607D501D409415EA7EEJEe6M" TargetMode="External"/><Relationship Id="rId24" Type="http://schemas.openxmlformats.org/officeDocument/2006/relationships/fontTable" Target="fontTable.xml"/><Relationship Id="rId5" Type="http://schemas.openxmlformats.org/officeDocument/2006/relationships/hyperlink" Target="consultantplus://offline/ref=AADAA0E5D894589AB4553DC919BC88839705855762655F00DC01D409415EA7EEE64299DE9E8EE5C0E1B8E9JDe0M" TargetMode="External"/><Relationship Id="rId15" Type="http://schemas.openxmlformats.org/officeDocument/2006/relationships/hyperlink" Target="consultantplus://offline/ref=AADAA0E5D894589AB4553DC919BC888397058557676E5E03DC01D409415EA7EEJEe6M" TargetMode="External"/><Relationship Id="rId23" Type="http://schemas.openxmlformats.org/officeDocument/2006/relationships/hyperlink" Target="consultantplus://offline/ref=AADAA0E5D894589AB4553DC919BC88839705855762625607D701D409415EA7EEE64299DE9E8EE5C0E1B8EDJDe0M" TargetMode="External"/><Relationship Id="rId10" Type="http://schemas.openxmlformats.org/officeDocument/2006/relationships/hyperlink" Target="consultantplus://offline/ref=AADAA0E5D894589AB4553DC919BC88839705855762645A06DD01D409415EA7EEJEe6M" TargetMode="External"/><Relationship Id="rId19" Type="http://schemas.openxmlformats.org/officeDocument/2006/relationships/hyperlink" Target="consultantplus://offline/ref=AADAA0E5D894589AB4553DC919BC88839705855764645A0FD001D409415EA7EEJEe6M" TargetMode="External"/><Relationship Id="rId4" Type="http://schemas.openxmlformats.org/officeDocument/2006/relationships/hyperlink" Target="consultantplus://offline/ref=AADAA0E5D894589AB4553DC919BC88839705855764675B0FD001D409415EA7EEE64299DE9E8EE5C0E1BCECJDe0M" TargetMode="External"/><Relationship Id="rId9" Type="http://schemas.openxmlformats.org/officeDocument/2006/relationships/hyperlink" Target="consultantplus://offline/ref=AADAA0E5D894589AB4553DC919BC88839705855766675A0FD701D409415EA7EEJEe6M" TargetMode="External"/><Relationship Id="rId14" Type="http://schemas.openxmlformats.org/officeDocument/2006/relationships/hyperlink" Target="consultantplus://offline/ref=AADAA0E5D894589AB4553DC919BC88839705855766665A0ED201D409415EA7EEJEe6M" TargetMode="External"/><Relationship Id="rId22" Type="http://schemas.openxmlformats.org/officeDocument/2006/relationships/hyperlink" Target="consultantplus://offline/ref=AADAA0E5D894589AB4553DC919BC88839705855766655E01D601D409415EA7EEE64299DE9E8EE5C0E1B8ECJDe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6118</Words>
  <Characters>34877</Characters>
  <Application>Microsoft Office Word</Application>
  <DocSecurity>0</DocSecurity>
  <Lines>290</Lines>
  <Paragraphs>81</Paragraphs>
  <ScaleCrop>false</ScaleCrop>
  <Company>*</Company>
  <LinksUpToDate>false</LinksUpToDate>
  <CharactersWithSpaces>40914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1</cp:revision>
  <dcterms:created xsi:type="dcterms:W3CDTF">2014-04-30T12:29:00Z</dcterms:created>
  <dcterms:modified xsi:type="dcterms:W3CDTF">2014-04-30T12:30:00Z</dcterms:modified>
</cp:coreProperties>
</file>