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B43" w:rsidRPr="000B5B43" w:rsidRDefault="000B5B43" w:rsidP="000B5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B43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731520" cy="82296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B43" w:rsidRPr="000B5B43" w:rsidRDefault="000B5B43" w:rsidP="000B5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43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0B5B43" w:rsidRPr="000B5B43" w:rsidRDefault="000B5B43" w:rsidP="000B5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43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</w:t>
      </w:r>
    </w:p>
    <w:p w:rsidR="000B5B43" w:rsidRPr="000B5B43" w:rsidRDefault="000B5B43" w:rsidP="000B5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4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B5B43" w:rsidRPr="000B5B43" w:rsidRDefault="000B5B43" w:rsidP="000B5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43" w:rsidRPr="000B5B43" w:rsidRDefault="000B5B43" w:rsidP="000B5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43">
        <w:rPr>
          <w:rFonts w:ascii="Times New Roman" w:hAnsi="Times New Roman" w:cs="Times New Roman"/>
          <w:b/>
          <w:sz w:val="28"/>
          <w:szCs w:val="28"/>
        </w:rPr>
        <w:t>Сто шестьдесят второе заседание Собрания депутатов</w:t>
      </w:r>
    </w:p>
    <w:p w:rsidR="000B5B43" w:rsidRPr="000B5B43" w:rsidRDefault="000B5B43" w:rsidP="000B5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43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0B5B43" w:rsidRPr="000B5B43" w:rsidRDefault="000B5B43" w:rsidP="000B5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43" w:rsidRPr="000B5B43" w:rsidRDefault="000B5B43" w:rsidP="000B5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B5B43" w:rsidRPr="000B5B43" w:rsidRDefault="000B5B43" w:rsidP="000B5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B43" w:rsidRPr="000B5B43" w:rsidRDefault="000B5B43" w:rsidP="000B5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5B43">
        <w:rPr>
          <w:rFonts w:ascii="Times New Roman" w:hAnsi="Times New Roman" w:cs="Times New Roman"/>
          <w:sz w:val="28"/>
          <w:szCs w:val="28"/>
        </w:rPr>
        <w:t xml:space="preserve">от </w:t>
      </w:r>
      <w:r w:rsidR="006B6523">
        <w:rPr>
          <w:rFonts w:ascii="Times New Roman" w:hAnsi="Times New Roman" w:cs="Times New Roman"/>
          <w:sz w:val="28"/>
          <w:szCs w:val="28"/>
          <w:u w:val="single"/>
        </w:rPr>
        <w:t>22.12.2025</w:t>
      </w:r>
      <w:r w:rsidRPr="000B5B43">
        <w:rPr>
          <w:rFonts w:ascii="Times New Roman" w:hAnsi="Times New Roman" w:cs="Times New Roman"/>
          <w:sz w:val="28"/>
          <w:szCs w:val="28"/>
        </w:rPr>
        <w:t xml:space="preserve"> № </w:t>
      </w:r>
      <w:r w:rsidR="006B6523">
        <w:rPr>
          <w:rFonts w:ascii="Times New Roman" w:hAnsi="Times New Roman" w:cs="Times New Roman"/>
          <w:sz w:val="28"/>
          <w:szCs w:val="28"/>
          <w:u w:val="single"/>
        </w:rPr>
        <w:t>1005</w:t>
      </w:r>
    </w:p>
    <w:p w:rsidR="000B5B43" w:rsidRPr="000B5B43" w:rsidRDefault="000B5B43" w:rsidP="000B5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5B4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5B43">
        <w:rPr>
          <w:rFonts w:ascii="Times New Roman" w:hAnsi="Times New Roman" w:cs="Times New Roman"/>
          <w:sz w:val="28"/>
          <w:szCs w:val="28"/>
        </w:rPr>
        <w:t>с.Балтай</w:t>
      </w:r>
      <w:proofErr w:type="spellEnd"/>
    </w:p>
    <w:p w:rsidR="00060D33" w:rsidRDefault="00060D33" w:rsidP="0075693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919A1" w:rsidRDefault="00756937" w:rsidP="00F919A1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69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местном бюджете </w:t>
      </w:r>
      <w:proofErr w:type="spellStart"/>
      <w:r w:rsidRPr="007569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Балтайского</w:t>
      </w:r>
      <w:proofErr w:type="spellEnd"/>
      <w:r w:rsidRPr="007569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F919A1" w:rsidRDefault="00756937" w:rsidP="00F919A1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69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района на 20</w:t>
      </w:r>
      <w:r w:rsidR="00CC34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786A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7569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</w:t>
      </w:r>
    </w:p>
    <w:p w:rsidR="00756937" w:rsidRDefault="00756937" w:rsidP="00F919A1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69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плановый период 202</w:t>
      </w:r>
      <w:r w:rsidR="00786A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7569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202</w:t>
      </w:r>
      <w:r w:rsidR="00786A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="00F919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годов</w:t>
      </w:r>
    </w:p>
    <w:p w:rsidR="000B5B43" w:rsidRPr="00756937" w:rsidRDefault="000B5B43" w:rsidP="00F919A1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Бюджетным кодексом Российской Федерации, Положением о бюджетном процессе в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Балтайском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муниципальном районе Саратовской области, руководствуясь Уставом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района, Собрание депутатов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</w:t>
      </w:r>
      <w:r w:rsidRPr="00460B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РЕШИЛО: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основные характеристики местного бюджета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на 2026 год: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доходов в сумме 521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172,3 тыс. руб.;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расходов в сумме 521 172,3 тыс. руб.;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дефицит в сумме 0,00 тыс. руб.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основные характеристики местного бюджета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на 2027 год и на 2028 год: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доходов на 2027 год в сумме 395 644,8 тыс. руб. и на 2028 год в сумме 400 998,5 тыс. руб.;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расходов на 2027 год в сумме 395 644,8 тыс. руб., в том числе условно утвержденные расходы в сумме 3 901,9 тыс. руб. и на 2028 год в сумме 400 998,5 тыс. руб., в том числе условно утвержденные расходы в сумме 8 097,5 тыс. руб.;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дефицит на 2027 год в сумме 0,0 тыс. руб. и на 2028 год в сумме 0,0 тыс. руб.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поступление доходов в местный бюджет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на 2026 год и на плановый период 2027 и 2028 годов согласно приложению № 1.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нормативы распределения доходов между местным бюджетом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Саратовской области и 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бюджетами сельских поселений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Саратовской области на 2026 год и на плановый период 2027 и 2028 годов согласно приложению № 2.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Установить, что информационное взаимодействие между управлением Федерального казначейства по Саратовской области и администраторами доходов местного бюджета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может осуществляться через следующие уполномоченные органы: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управление администрации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района Саратовской области;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Саратовской области.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Утвердить: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бюджетных ассигнований на исполнение публичных нормативных обязательств: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2026 год в сумме 926,4 тыс. руб.;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2027 год в сумме 0,00 тыс. руб.;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2028 год в сумме 0,00 тыс. руб.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Утвердить: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бюджетных ассигнований муниципального дорожного фонда: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2026 год в сумме 16 348,0 тыс. руб.;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2027 год в сумме 15 986,0 тыс. руб.;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2027 год в сумме 16 653,0 тыс. руб.;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ведомственную структуру расходов местного бюджета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на 2026 год и на плановый период 2027 и 2028 годов согласно приложению № 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распределение бюджетных ассигнований по разделам, подразделам,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местного бюджета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на 2026 год и на плановый период 2027 и 2028 годов согласно приложению № 4;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распределение бюджетных ассигнований по целевым статьям (муниципальным программам района и не программным направлениям деятельности), группам и подгруппам видов расходов классификации расходов местного бюджета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на 2026 год и на плановый период 2027 и 2028 годов согласно приложению № 5;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бюджетные ассигнования по расходам на обслуживание муниципального долга в 2026 году в сумме 7,4 тыс. руб., в 2027 году в сумме 513,1 тыс. руб., в 2028 году в сумме 1 221,0 тыс. руб.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Установить, что </w:t>
      </w:r>
      <w:r w:rsidRPr="00460B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субсидии юридическим лицам (за исключением субсидий государственным (муниципальным) учреждениям),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 субсидий, указанных в пунктах 6 - 8 статьи 78 Бюджетного кодекса Российской Федерации),</w:t>
      </w:r>
      <w:r w:rsidRPr="00460B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индивидуальным предпринимателям, а также физическим лицам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 - производителям товаров, работ, услуг предоставляются 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соответствии с бюджетной росписью местного бюджета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в пределах бюджетных ассигнований и лимитов бюджетных обязательств путем перечисления средств субсидий на расчетные счета получателей субсидий, открытые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кредитных организациях.</w:t>
      </w:r>
    </w:p>
    <w:p w:rsidR="00460BFC" w:rsidRPr="00460BFC" w:rsidRDefault="00460BFC" w:rsidP="00460BFC">
      <w:pPr>
        <w:tabs>
          <w:tab w:val="left" w:pos="709"/>
        </w:tabs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Случаи предоставления субсидий юридическим лицам </w:t>
      </w:r>
      <w:r w:rsidRPr="00460B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(за исключением субсидий государственным (муниципальным) учреждениям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 также субсидий, указанных в пунктах 6 - 8 статьи 78 Бюджетного кодекса Российской Федерации), индивидуальным предпринимателям, а также физическим лицам – производителям товаров, работ, услуг устанавливаются нормативными правовыми актами администрации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межбюджетные трансферты, предоставляемые из областного бюджета в местный бюджет на 2026 год в объеме 349 089,7 тыс. руб., на 2027 год в объеме 317 073,6 тыс. руб., на 2028 год в объеме 318 834,2 тыс. руб.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дотации бюджетам поселений на выравнивание бюджетной обеспеченности бюджетов поселений из местного бюджета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на 2026 год и на плановый период 2027 и 2028 годов согласно приложению № 6.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 критерий выравнивания расчетной бюджетной обеспеченности муниципальных образований на 2026 год в размере 0,955, на 2027 год в размере 0,88, на 2028 год в размере 0,86.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распределение дотации бюджетам поселений на выравнивание бюджетной обеспеченности за счет субвенции из областного бюджета на 2026 год и на плановый период 2027 и 2028 годов согласно приложению № 7.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обеспечивает направление в 2026 году остатков средств местного бюджета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района, находящихся по состоянию на 1 января 2026 года на едином счете, за исключением целевых средств, полученных из областного бюджета, на покрытие временных кассовых разрывов.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Установить, что правовые акты, влекущие дополнительные расходы средств местного бюджета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или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при сокращении расходов по конкретным статьям местного бюджета после внесения изменений в настоящее решение.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случае, если реализация правового акта частично обеспечена источниками финансирования в местном бюджете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района, такой правовой акт реализуется и применяется в пределах средств, предусмотренных на эти цели в местном бюджете.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Установить запрет на принятие новых расходных обязательств и необеспеченное собственными доходами увеличение действующих 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расходных обязательств, а при необходимости принимать их только после соответствующей оценки эффективности и при условии адекватной оптимизации расходов в 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аданных бюджетных ограничениях.</w:t>
      </w:r>
    </w:p>
    <w:p w:rsidR="00460BFC" w:rsidRPr="00460BFC" w:rsidRDefault="00460BFC" w:rsidP="00460BFC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460BFC">
        <w:rPr>
          <w:rFonts w:ascii="Times New Roman" w:hAnsi="Times New Roman" w:cs="Times New Roman"/>
          <w:sz w:val="28"/>
          <w:szCs w:val="28"/>
        </w:rPr>
        <w:t xml:space="preserve">Установить, что в 2026 году в соответствии со статьей 242.26 Бюджетного кодекса Российской Федерации казначейскому сопровождению подлежат следующие средства бюджета </w:t>
      </w:r>
      <w:proofErr w:type="spellStart"/>
      <w:r w:rsidRPr="00460BFC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Pr="00460BFC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460BFC" w:rsidRPr="00460BFC" w:rsidRDefault="00460BFC" w:rsidP="00460BFC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60BFC">
        <w:rPr>
          <w:rFonts w:ascii="Times New Roman" w:hAnsi="Times New Roman" w:cs="Times New Roman"/>
          <w:sz w:val="28"/>
          <w:szCs w:val="28"/>
        </w:rPr>
        <w:t xml:space="preserve">авансовые платежи и расчеты по муниципальным контрактам (контрактам, договорам) о поставке товаров, выполнении работ, оказании услуг, заключаемым на сумму 100 000,0 тыс. рублей и более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источником финансового обеспечения которых являются межбюджетные трансферты бюджету </w:t>
      </w:r>
      <w:proofErr w:type="spellStart"/>
      <w:r w:rsidRPr="00460BFC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Pr="00460BFC">
        <w:rPr>
          <w:rFonts w:ascii="Times New Roman" w:hAnsi="Times New Roman" w:cs="Times New Roman"/>
          <w:sz w:val="28"/>
          <w:szCs w:val="28"/>
        </w:rPr>
        <w:t xml:space="preserve"> муниципального района на реализацию мероприятий по строительству спортивных объектов (зданий, строений, сооружений) на территории объектов образования.</w:t>
      </w:r>
    </w:p>
    <w:p w:rsidR="00460BFC" w:rsidRPr="00460BFC" w:rsidRDefault="00460BFC" w:rsidP="00460BFC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BFC">
        <w:rPr>
          <w:rFonts w:ascii="Times New Roman" w:hAnsi="Times New Roman" w:cs="Times New Roman"/>
          <w:sz w:val="28"/>
          <w:szCs w:val="28"/>
        </w:rPr>
        <w:t>Казначейское сопровождение средств, указанных в пункте 13, осуществляет Управление Федерального казначейства по Саратовской области в соответствии со статьей 220.2 Бюджетного кодекса Российской Федерации.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источники внутреннего финансирования дефицита местного бюджета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на 2026 год и на плановый период 2027 и 2028 годов согласно приложению № 8.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программу муниципальных внутренних заимствований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на 2026 год и на плановый период 2027 и 2028 годов согласно приложению № 9.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60BFC">
        <w:rPr>
          <w:rFonts w:ascii="Times New Roman" w:hAnsi="Times New Roman" w:cs="Times New Roman"/>
          <w:sz w:val="28"/>
          <w:szCs w:val="28"/>
        </w:rPr>
        <w:t xml:space="preserve">Утвердить размер резервного фонда администрации </w:t>
      </w:r>
      <w:proofErr w:type="spellStart"/>
      <w:r w:rsidRPr="00460BFC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Pr="00460BF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на 2026 год в сумме </w:t>
      </w:r>
      <w:r w:rsidR="00246BB3">
        <w:rPr>
          <w:rFonts w:ascii="Times New Roman" w:hAnsi="Times New Roman" w:cs="Times New Roman"/>
          <w:sz w:val="28"/>
          <w:szCs w:val="28"/>
        </w:rPr>
        <w:t xml:space="preserve">2 600,0 </w:t>
      </w:r>
      <w:r w:rsidRPr="00460BFC">
        <w:rPr>
          <w:rFonts w:ascii="Times New Roman" w:hAnsi="Times New Roman" w:cs="Times New Roman"/>
          <w:sz w:val="28"/>
          <w:szCs w:val="28"/>
        </w:rPr>
        <w:t>тыс. рублей, на 2027 год в сумме 100,0 тыс. рублей и на 2028 год в сумме 100,0 тыс. рублей.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Установить верхний предел муниципального внутреннего долга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района: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состоянию на 1 января 2026 года в сумме 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400,0 тыс. руб., в том числе верхний предел долга по муниципальным гарантиям в сумме 0,0 тыс.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руб.;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 состоянию на 1 января 2027 года в сумме 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400,0 тыс. руб., в том числе верхний предел долга по муниципальным гарантиям в сумме 0,0 тыс. руб.;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 состоянию на 1 января 2028 года в сумме 7 400,0 тыс. руб., в том числе верхний предел долга по муниципальным гарантиям в сумме 0,0 тыс. руб.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 мораторий на предоставление в течение 2026 года муниципальных гарантий.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Установить, что средства в объеме остатков субсидий, предоставленных в 2025 году муниципальным бюджетным учреждениям на 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финансовое обеспечение выполнения муниципальных заданий на оказание муниципальных услуг (выполнение работ), образовавшихся в связи с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недостижением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муниципальными бюджетными учреждениями установленных муниципальным заданием показателей, характеризующих объем муниципальных услуг (работ), подлежат возврату в местный бюджет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Установить следующие дополнительные основания для внесения изменений в сводную бюджетную роспись местного бюджета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без внесения изменений в настоящее решение: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внесение в установленном порядке изменений в муниципальные программы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в части перераспределения бюджетных ассигнований между мероприятиями программы и (или) изменения состава мероприятий муниципальной программы в пределах общего объема бюджетных ассигнований, утвержденного настоящим решением на финансовое обеспечение реализации муниципальной программы.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Установить исходя из прогнозируемого уровня инфляции размер индексации с 1 октября 2026 года на 4,0 процента, с 1 октября 2027 года на 4,0 процента, с 1 октября 2028 года на 4,0 процента размеров денежного вознаграждения лицам, замещающим муниципальные должности, и окладов месячного денежного содержания по должностям муниципальной службы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Саратовской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решение подлежит официальному опубликованию и вступает в силу с 1 января 2026 года.</w:t>
      </w:r>
    </w:p>
    <w:p w:rsidR="00460BFC" w:rsidRPr="00460BFC" w:rsidRDefault="00460BFC" w:rsidP="00460BF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решения возложить на постоянную комиссию Собрания депутатов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 w:rsidRPr="00460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Саратовской области по бюджетно-финансовой политике и налогам.</w:t>
      </w:r>
    </w:p>
    <w:p w:rsidR="000B5B43" w:rsidRDefault="000B5B43" w:rsidP="000B5B4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DF0" w:rsidRDefault="00385DF0" w:rsidP="000B5B43">
      <w:pPr>
        <w:pStyle w:val="ConsPlusNormal"/>
        <w:widowControl/>
        <w:ind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385DF0" w:rsidRDefault="00385DF0" w:rsidP="000B5B43">
      <w:pPr>
        <w:pStyle w:val="ConsPlusNormal"/>
        <w:widowControl/>
        <w:ind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0B5B43" w:rsidRPr="00B67FF7" w:rsidRDefault="000B5B43" w:rsidP="000B5B43">
      <w:pPr>
        <w:pStyle w:val="ConsPlusNormal"/>
        <w:widowControl/>
        <w:ind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bookmarkStart w:id="0" w:name="_GoBack"/>
      <w:bookmarkEnd w:id="0"/>
      <w:r w:rsidRPr="00B67FF7">
        <w:rPr>
          <w:rFonts w:ascii="Times New Roman" w:hAnsi="Times New Roman" w:cs="Times New Roman"/>
          <w:kern w:val="28"/>
          <w:sz w:val="28"/>
          <w:szCs w:val="28"/>
        </w:rPr>
        <w:t>Председатель Собрания депутатов</w:t>
      </w:r>
    </w:p>
    <w:p w:rsidR="000B5B43" w:rsidRPr="00B67FF7" w:rsidRDefault="000B5B43" w:rsidP="000B5B43">
      <w:pPr>
        <w:pStyle w:val="ConsPlusNormal"/>
        <w:widowControl/>
        <w:ind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 w:rsidRPr="00B67FF7">
        <w:rPr>
          <w:rFonts w:ascii="Times New Roman" w:hAnsi="Times New Roman" w:cs="Times New Roman"/>
          <w:kern w:val="28"/>
          <w:sz w:val="28"/>
          <w:szCs w:val="28"/>
        </w:rPr>
        <w:t>Балтайског</w:t>
      </w:r>
      <w:r>
        <w:rPr>
          <w:rFonts w:ascii="Times New Roman" w:hAnsi="Times New Roman" w:cs="Times New Roman"/>
          <w:kern w:val="28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Н.В.</w:t>
      </w:r>
      <w:r w:rsidRPr="00AA06A3">
        <w:rPr>
          <w:rFonts w:ascii="Times New Roman" w:hAnsi="Times New Roman" w:cs="Times New Roman"/>
          <w:kern w:val="28"/>
          <w:sz w:val="28"/>
          <w:szCs w:val="28"/>
        </w:rPr>
        <w:t>Меркер</w:t>
      </w:r>
      <w:proofErr w:type="spellEnd"/>
      <w:proofErr w:type="gramEnd"/>
    </w:p>
    <w:p w:rsidR="000B5B43" w:rsidRDefault="000B5B43" w:rsidP="000B5B43">
      <w:pPr>
        <w:tabs>
          <w:tab w:val="left" w:pos="709"/>
        </w:tabs>
        <w:spacing w:after="0" w:line="10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B5B43" w:rsidRDefault="000B5B43" w:rsidP="000B5B43">
      <w:pPr>
        <w:tabs>
          <w:tab w:val="left" w:pos="709"/>
        </w:tabs>
        <w:spacing w:after="0" w:line="10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B5B43" w:rsidRDefault="000B5B43" w:rsidP="000B5B43">
      <w:pPr>
        <w:tabs>
          <w:tab w:val="left" w:pos="709"/>
        </w:tabs>
        <w:spacing w:after="0" w:line="100" w:lineRule="atLeast"/>
        <w:rPr>
          <w:rFonts w:cs="Times New Roman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Балтайского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B5B43" w:rsidRDefault="000B5B43" w:rsidP="000B5B43">
      <w:pPr>
        <w:tabs>
          <w:tab w:val="left" w:pos="709"/>
          <w:tab w:val="left" w:pos="7365"/>
        </w:tabs>
        <w:spacing w:after="0" w:line="10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района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Е.С.Бенькович</w:t>
      </w:r>
      <w:proofErr w:type="spellEnd"/>
    </w:p>
    <w:p w:rsidR="00E00191" w:rsidRDefault="00E00191" w:rsidP="000B5B43">
      <w:pPr>
        <w:tabs>
          <w:tab w:val="left" w:pos="709"/>
          <w:tab w:val="left" w:pos="7365"/>
        </w:tabs>
        <w:spacing w:after="0" w:line="10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85DF0" w:rsidRDefault="00385DF0" w:rsidP="000B5B43">
      <w:pPr>
        <w:tabs>
          <w:tab w:val="left" w:pos="709"/>
          <w:tab w:val="left" w:pos="7365"/>
        </w:tabs>
        <w:spacing w:after="0" w:line="10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85DF0" w:rsidRDefault="00385DF0" w:rsidP="000B5B43">
      <w:pPr>
        <w:tabs>
          <w:tab w:val="left" w:pos="709"/>
          <w:tab w:val="left" w:pos="7365"/>
        </w:tabs>
        <w:spacing w:after="0" w:line="10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85DF0" w:rsidRDefault="00385DF0" w:rsidP="000B5B43">
      <w:pPr>
        <w:tabs>
          <w:tab w:val="left" w:pos="709"/>
          <w:tab w:val="left" w:pos="7365"/>
        </w:tabs>
        <w:spacing w:after="0" w:line="10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85DF0" w:rsidRDefault="00385DF0" w:rsidP="000B5B43">
      <w:pPr>
        <w:tabs>
          <w:tab w:val="left" w:pos="709"/>
          <w:tab w:val="left" w:pos="7365"/>
        </w:tabs>
        <w:spacing w:after="0" w:line="100" w:lineRule="atLeast"/>
        <w:rPr>
          <w:rFonts w:ascii="Times New Roman" w:hAnsi="Times New Roman" w:cs="Times New Roman"/>
          <w:sz w:val="28"/>
          <w:szCs w:val="28"/>
          <w:lang w:eastAsia="ar-SA"/>
        </w:rPr>
        <w:sectPr w:rsidR="00385DF0" w:rsidSect="007834BE">
          <w:headerReference w:type="default" r:id="rId9"/>
          <w:pgSz w:w="11906" w:h="16838"/>
          <w:pgMar w:top="1134" w:right="1134" w:bottom="1134" w:left="1701" w:header="720" w:footer="720" w:gutter="0"/>
          <w:cols w:space="720"/>
          <w:titlePg/>
          <w:docGrid w:linePitch="299"/>
        </w:sectPr>
      </w:pPr>
    </w:p>
    <w:p w:rsidR="0053688F" w:rsidRPr="000B5B43" w:rsidRDefault="0053688F" w:rsidP="00E0019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53688F" w:rsidRPr="000B5B43" w:rsidSect="00E00191">
      <w:headerReference w:type="even" r:id="rId10"/>
      <w:pgSz w:w="16838" w:h="11906" w:orient="landscape"/>
      <w:pgMar w:top="170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F4F" w:rsidRDefault="00363F4F">
      <w:pPr>
        <w:spacing w:after="0" w:line="240" w:lineRule="auto"/>
      </w:pPr>
      <w:r>
        <w:separator/>
      </w:r>
    </w:p>
  </w:endnote>
  <w:endnote w:type="continuationSeparator" w:id="0">
    <w:p w:rsidR="00363F4F" w:rsidRDefault="0036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F4F" w:rsidRDefault="00363F4F">
      <w:pPr>
        <w:spacing w:after="0" w:line="240" w:lineRule="auto"/>
      </w:pPr>
      <w:r>
        <w:separator/>
      </w:r>
    </w:p>
  </w:footnote>
  <w:footnote w:type="continuationSeparator" w:id="0">
    <w:p w:rsidR="00363F4F" w:rsidRDefault="0036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3E" w:rsidRPr="00673E10" w:rsidRDefault="00697D3E" w:rsidP="007834BE">
    <w:pPr>
      <w:pStyle w:val="a7"/>
      <w:jc w:val="center"/>
      <w:rPr>
        <w:rFonts w:ascii="Times New Roman" w:hAnsi="Times New Roman" w:cs="Times New Roman"/>
      </w:rPr>
    </w:pPr>
    <w:r w:rsidRPr="00673E10">
      <w:rPr>
        <w:rFonts w:ascii="Times New Roman" w:hAnsi="Times New Roman" w:cs="Times New Roman"/>
      </w:rPr>
      <w:fldChar w:fldCharType="begin"/>
    </w:r>
    <w:r w:rsidRPr="00673E10">
      <w:rPr>
        <w:rFonts w:ascii="Times New Roman" w:hAnsi="Times New Roman" w:cs="Times New Roman"/>
      </w:rPr>
      <w:instrText xml:space="preserve"> PAGE   \* MERGEFORMAT </w:instrText>
    </w:r>
    <w:r w:rsidRPr="00673E10">
      <w:rPr>
        <w:rFonts w:ascii="Times New Roman" w:hAnsi="Times New Roman" w:cs="Times New Roman"/>
      </w:rPr>
      <w:fldChar w:fldCharType="separate"/>
    </w:r>
    <w:r w:rsidR="00385DF0">
      <w:rPr>
        <w:rFonts w:ascii="Times New Roman" w:hAnsi="Times New Roman" w:cs="Times New Roman"/>
        <w:noProof/>
      </w:rPr>
      <w:t>6</w:t>
    </w:r>
    <w:r w:rsidRPr="00673E10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3E" w:rsidRDefault="00697D3E" w:rsidP="007834B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7D3E" w:rsidRDefault="00697D3E" w:rsidP="007834B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>
    <w:nsid w:val="63243A75"/>
    <w:multiLevelType w:val="hybridMultilevel"/>
    <w:tmpl w:val="17929B38"/>
    <w:lvl w:ilvl="0" w:tplc="7682C05C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6C"/>
    <w:rsid w:val="00004650"/>
    <w:rsid w:val="00005366"/>
    <w:rsid w:val="00027167"/>
    <w:rsid w:val="00031374"/>
    <w:rsid w:val="00036331"/>
    <w:rsid w:val="00054575"/>
    <w:rsid w:val="00060D33"/>
    <w:rsid w:val="00083639"/>
    <w:rsid w:val="000B5B43"/>
    <w:rsid w:val="000B7379"/>
    <w:rsid w:val="000C08F4"/>
    <w:rsid w:val="000C366D"/>
    <w:rsid w:val="000D2902"/>
    <w:rsid w:val="000E1965"/>
    <w:rsid w:val="000E5876"/>
    <w:rsid w:val="000E7079"/>
    <w:rsid w:val="0010668F"/>
    <w:rsid w:val="00110261"/>
    <w:rsid w:val="0011491C"/>
    <w:rsid w:val="00122D8E"/>
    <w:rsid w:val="001236DB"/>
    <w:rsid w:val="00124F32"/>
    <w:rsid w:val="00134965"/>
    <w:rsid w:val="00142460"/>
    <w:rsid w:val="00164A0A"/>
    <w:rsid w:val="00174BF6"/>
    <w:rsid w:val="001A7F78"/>
    <w:rsid w:val="001D514C"/>
    <w:rsid w:val="001D780B"/>
    <w:rsid w:val="001E092E"/>
    <w:rsid w:val="002018B1"/>
    <w:rsid w:val="00216B80"/>
    <w:rsid w:val="00234945"/>
    <w:rsid w:val="00235FB2"/>
    <w:rsid w:val="00246BB3"/>
    <w:rsid w:val="0024788A"/>
    <w:rsid w:val="00254E47"/>
    <w:rsid w:val="002676CC"/>
    <w:rsid w:val="002773ED"/>
    <w:rsid w:val="00286D8A"/>
    <w:rsid w:val="002B2473"/>
    <w:rsid w:val="002B32A6"/>
    <w:rsid w:val="002B33A7"/>
    <w:rsid w:val="002D149E"/>
    <w:rsid w:val="002E2AF9"/>
    <w:rsid w:val="002F1F4B"/>
    <w:rsid w:val="003075AA"/>
    <w:rsid w:val="00363F4F"/>
    <w:rsid w:val="003732E5"/>
    <w:rsid w:val="003770FF"/>
    <w:rsid w:val="00382594"/>
    <w:rsid w:val="003846B0"/>
    <w:rsid w:val="00385DF0"/>
    <w:rsid w:val="003A63F4"/>
    <w:rsid w:val="003B272D"/>
    <w:rsid w:val="003C37BA"/>
    <w:rsid w:val="003C4471"/>
    <w:rsid w:val="003D72BF"/>
    <w:rsid w:val="003D7AEB"/>
    <w:rsid w:val="003F6DA9"/>
    <w:rsid w:val="003F70FA"/>
    <w:rsid w:val="004122B7"/>
    <w:rsid w:val="0044211F"/>
    <w:rsid w:val="00451134"/>
    <w:rsid w:val="00460BFC"/>
    <w:rsid w:val="00473CDA"/>
    <w:rsid w:val="004964D1"/>
    <w:rsid w:val="004C5E9C"/>
    <w:rsid w:val="004D060B"/>
    <w:rsid w:val="004E3FAD"/>
    <w:rsid w:val="00502149"/>
    <w:rsid w:val="00511EC2"/>
    <w:rsid w:val="00513DDE"/>
    <w:rsid w:val="00521BFC"/>
    <w:rsid w:val="00526162"/>
    <w:rsid w:val="00530C49"/>
    <w:rsid w:val="00530DD0"/>
    <w:rsid w:val="00536787"/>
    <w:rsid w:val="0053688F"/>
    <w:rsid w:val="005518A1"/>
    <w:rsid w:val="00555618"/>
    <w:rsid w:val="005722C8"/>
    <w:rsid w:val="00596701"/>
    <w:rsid w:val="005D72DF"/>
    <w:rsid w:val="005F3014"/>
    <w:rsid w:val="00627758"/>
    <w:rsid w:val="00631878"/>
    <w:rsid w:val="00657BA2"/>
    <w:rsid w:val="00697D3E"/>
    <w:rsid w:val="006B1D07"/>
    <w:rsid w:val="006B6523"/>
    <w:rsid w:val="006C407B"/>
    <w:rsid w:val="006C601C"/>
    <w:rsid w:val="006E735A"/>
    <w:rsid w:val="006F1488"/>
    <w:rsid w:val="00706B42"/>
    <w:rsid w:val="00706C9E"/>
    <w:rsid w:val="00707817"/>
    <w:rsid w:val="00726A25"/>
    <w:rsid w:val="00740766"/>
    <w:rsid w:val="00744DEB"/>
    <w:rsid w:val="00756937"/>
    <w:rsid w:val="007773AA"/>
    <w:rsid w:val="007802B4"/>
    <w:rsid w:val="007834BE"/>
    <w:rsid w:val="0078447D"/>
    <w:rsid w:val="00786AFF"/>
    <w:rsid w:val="0079496F"/>
    <w:rsid w:val="007E4DB5"/>
    <w:rsid w:val="00831F3C"/>
    <w:rsid w:val="008458ED"/>
    <w:rsid w:val="008D09BD"/>
    <w:rsid w:val="008E126A"/>
    <w:rsid w:val="0091773D"/>
    <w:rsid w:val="009252CA"/>
    <w:rsid w:val="00950C43"/>
    <w:rsid w:val="0096079C"/>
    <w:rsid w:val="0096463D"/>
    <w:rsid w:val="009757B4"/>
    <w:rsid w:val="00980F94"/>
    <w:rsid w:val="0098664D"/>
    <w:rsid w:val="009B0DBE"/>
    <w:rsid w:val="009B78E9"/>
    <w:rsid w:val="009C26F5"/>
    <w:rsid w:val="00A3661E"/>
    <w:rsid w:val="00A428B8"/>
    <w:rsid w:val="00A557A5"/>
    <w:rsid w:val="00A678CB"/>
    <w:rsid w:val="00A874E9"/>
    <w:rsid w:val="00AA7007"/>
    <w:rsid w:val="00AB2FA2"/>
    <w:rsid w:val="00AD3B72"/>
    <w:rsid w:val="00B0586E"/>
    <w:rsid w:val="00B11A37"/>
    <w:rsid w:val="00B26A3D"/>
    <w:rsid w:val="00B37F60"/>
    <w:rsid w:val="00B47B52"/>
    <w:rsid w:val="00B66AE1"/>
    <w:rsid w:val="00B670CE"/>
    <w:rsid w:val="00B74366"/>
    <w:rsid w:val="00B81C03"/>
    <w:rsid w:val="00B846CF"/>
    <w:rsid w:val="00B96DD5"/>
    <w:rsid w:val="00BA0968"/>
    <w:rsid w:val="00BA55F0"/>
    <w:rsid w:val="00BB2D6D"/>
    <w:rsid w:val="00BE682C"/>
    <w:rsid w:val="00C053F6"/>
    <w:rsid w:val="00C25640"/>
    <w:rsid w:val="00C506E1"/>
    <w:rsid w:val="00C67469"/>
    <w:rsid w:val="00C7079C"/>
    <w:rsid w:val="00C80B43"/>
    <w:rsid w:val="00C94A16"/>
    <w:rsid w:val="00C95976"/>
    <w:rsid w:val="00CA6435"/>
    <w:rsid w:val="00CC3406"/>
    <w:rsid w:val="00CC3E82"/>
    <w:rsid w:val="00CE25CB"/>
    <w:rsid w:val="00CE36A2"/>
    <w:rsid w:val="00CF400F"/>
    <w:rsid w:val="00CF67DD"/>
    <w:rsid w:val="00CF6FE0"/>
    <w:rsid w:val="00D10326"/>
    <w:rsid w:val="00D1376C"/>
    <w:rsid w:val="00D56D02"/>
    <w:rsid w:val="00DA1F85"/>
    <w:rsid w:val="00DA3220"/>
    <w:rsid w:val="00DB2715"/>
    <w:rsid w:val="00DC54A0"/>
    <w:rsid w:val="00DD17A9"/>
    <w:rsid w:val="00DE3B9D"/>
    <w:rsid w:val="00DF2CA8"/>
    <w:rsid w:val="00E00191"/>
    <w:rsid w:val="00E06879"/>
    <w:rsid w:val="00E07EB5"/>
    <w:rsid w:val="00E10668"/>
    <w:rsid w:val="00E201B0"/>
    <w:rsid w:val="00E22171"/>
    <w:rsid w:val="00E805ED"/>
    <w:rsid w:val="00E8326D"/>
    <w:rsid w:val="00E92506"/>
    <w:rsid w:val="00EA35C5"/>
    <w:rsid w:val="00EB5E8D"/>
    <w:rsid w:val="00EB68C2"/>
    <w:rsid w:val="00EC2367"/>
    <w:rsid w:val="00EE09D5"/>
    <w:rsid w:val="00F16B8E"/>
    <w:rsid w:val="00F62C04"/>
    <w:rsid w:val="00F673D0"/>
    <w:rsid w:val="00F7145E"/>
    <w:rsid w:val="00F8102A"/>
    <w:rsid w:val="00F919A1"/>
    <w:rsid w:val="00F97E92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770B7-648E-406A-B6F9-9D560216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C"/>
  </w:style>
  <w:style w:type="paragraph" w:styleId="1">
    <w:name w:val="heading 1"/>
    <w:basedOn w:val="a"/>
    <w:next w:val="a"/>
    <w:link w:val="10"/>
    <w:qFormat/>
    <w:rsid w:val="009757B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834BE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D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D78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6B42"/>
    <w:pPr>
      <w:ind w:left="720"/>
      <w:contextualSpacing/>
    </w:pPr>
  </w:style>
  <w:style w:type="character" w:styleId="a6">
    <w:name w:val="Hyperlink"/>
    <w:basedOn w:val="a0"/>
    <w:unhideWhenUsed/>
    <w:rsid w:val="00706B42"/>
    <w:rPr>
      <w:color w:val="0563C1" w:themeColor="hyperlink"/>
      <w:u w:val="single"/>
    </w:rPr>
  </w:style>
  <w:style w:type="paragraph" w:styleId="a7">
    <w:name w:val="header"/>
    <w:basedOn w:val="a"/>
    <w:link w:val="a8"/>
    <w:unhideWhenUsed/>
    <w:rsid w:val="0075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6937"/>
  </w:style>
  <w:style w:type="character" w:styleId="a9">
    <w:name w:val="page number"/>
    <w:basedOn w:val="a0"/>
    <w:rsid w:val="00756937"/>
  </w:style>
  <w:style w:type="paragraph" w:customStyle="1" w:styleId="ConsPlusTitle">
    <w:name w:val="ConsPlusTitle"/>
    <w:rsid w:val="00060D3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0B5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B5B43"/>
  </w:style>
  <w:style w:type="paragraph" w:customStyle="1" w:styleId="ConsPlusNormal">
    <w:name w:val="ConsPlusNormal"/>
    <w:uiPriority w:val="99"/>
    <w:rsid w:val="000B5B4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57B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7834BE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c">
    <w:name w:val="Body Text Indent"/>
    <w:basedOn w:val="a"/>
    <w:link w:val="ad"/>
    <w:unhideWhenUsed/>
    <w:rsid w:val="007834BE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834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7834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">
    <w:name w:val="Название Знак"/>
    <w:basedOn w:val="a0"/>
    <w:link w:val="ae"/>
    <w:rsid w:val="007834BE"/>
    <w:rPr>
      <w:rFonts w:ascii="Times New Roman" w:eastAsia="Times New Roman" w:hAnsi="Times New Roman" w:cs="Times New Roman"/>
      <w:b/>
      <w:sz w:val="32"/>
      <w:szCs w:val="20"/>
    </w:rPr>
  </w:style>
  <w:style w:type="paragraph" w:styleId="af0">
    <w:name w:val="No Spacing"/>
    <w:qFormat/>
    <w:rsid w:val="007834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39"/>
    <w:rsid w:val="007834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азвание закона"/>
    <w:basedOn w:val="a"/>
    <w:next w:val="a"/>
    <w:rsid w:val="007834BE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">
    <w:name w:val="Знак Знак4"/>
    <w:rsid w:val="007834BE"/>
    <w:rPr>
      <w:rFonts w:ascii="Arial" w:hAnsi="Arial"/>
      <w:b/>
      <w:bCs/>
      <w:sz w:val="26"/>
      <w:szCs w:val="26"/>
      <w:lang w:eastAsia="ar-SA" w:bidi="ar-SA"/>
    </w:rPr>
  </w:style>
  <w:style w:type="paragraph" w:styleId="af3">
    <w:name w:val="Body Text"/>
    <w:basedOn w:val="a"/>
    <w:link w:val="af4"/>
    <w:rsid w:val="007834B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Основной текст Знак"/>
    <w:basedOn w:val="a0"/>
    <w:link w:val="af3"/>
    <w:rsid w:val="007834B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5">
    <w:name w:val="annotation reference"/>
    <w:rsid w:val="007834BE"/>
    <w:rPr>
      <w:sz w:val="16"/>
      <w:szCs w:val="16"/>
    </w:rPr>
  </w:style>
  <w:style w:type="paragraph" w:styleId="af6">
    <w:name w:val="annotation text"/>
    <w:basedOn w:val="a"/>
    <w:link w:val="af7"/>
    <w:rsid w:val="007834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Текст примечания Знак"/>
    <w:basedOn w:val="a0"/>
    <w:link w:val="af6"/>
    <w:rsid w:val="007834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annotation subject"/>
    <w:basedOn w:val="af6"/>
    <w:next w:val="af6"/>
    <w:link w:val="af9"/>
    <w:rsid w:val="007834BE"/>
    <w:rPr>
      <w:b/>
      <w:bCs/>
    </w:rPr>
  </w:style>
  <w:style w:type="character" w:customStyle="1" w:styleId="af9">
    <w:name w:val="Тема примечания Знак"/>
    <w:basedOn w:val="af7"/>
    <w:link w:val="af8"/>
    <w:rsid w:val="007834B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AAA63-306E-4D96-B90F-72F9EB51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 Трущев</dc:creator>
  <cp:lastModifiedBy>Олег Трущев</cp:lastModifiedBy>
  <cp:revision>6</cp:revision>
  <cp:lastPrinted>2025-12-22T08:02:00Z</cp:lastPrinted>
  <dcterms:created xsi:type="dcterms:W3CDTF">2025-12-23T10:17:00Z</dcterms:created>
  <dcterms:modified xsi:type="dcterms:W3CDTF">2025-12-24T06:07:00Z</dcterms:modified>
</cp:coreProperties>
</file>