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D" w:rsidRPr="006E3E5D" w:rsidRDefault="006E3E5D" w:rsidP="006E3E5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</w:pPr>
      <w:r w:rsidRPr="006E3E5D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Карточка свободной производственной площадки и оборудования, территории для застройки № </w:t>
      </w:r>
      <w:r w:rsidR="00EE7125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3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3697"/>
      </w:tblGrid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Балтайский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64:07:050170:9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разрешенного использования земельного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 и объекта капитального строительства (в случае его  наличия)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6E3E5D" w:rsidRPr="006E3E5D" w:rsidTr="006E3E5D">
        <w:tc>
          <w:tcPr>
            <w:tcW w:w="105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Основные сведения о площадке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Предприятие (организации) — владелец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EE7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адрес, телефон, e-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web-site</w:t>
            </w:r>
            <w:proofErr w:type="spellEnd"/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EE7125" w:rsidRDefault="00EE7125" w:rsidP="00EE7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Балтайский</w:t>
            </w:r>
            <w:proofErr w:type="spell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район, с. Балтай, ул.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д.78,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очта</w:t>
            </w:r>
            <w:proofErr w:type="spell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baltay-ekonomika@mail.ru , телефон</w:t>
            </w:r>
          </w:p>
          <w:p w:rsidR="00EE7125" w:rsidRPr="00EE7125" w:rsidRDefault="00EE7125" w:rsidP="00EE7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8(84592)2-24-66</w:t>
            </w:r>
          </w:p>
          <w:p w:rsidR="006E3E5D" w:rsidRPr="006E3E5D" w:rsidRDefault="006E3E5D" w:rsidP="00EE7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Козурманов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контактного  лица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EE7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8(84592)</w:t>
            </w:r>
            <w:r w:rsid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2-2</w:t>
            </w:r>
            <w:r w:rsid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2-58</w:t>
            </w: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адрес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очты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EE7125"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baltay-ekonomika@mail.ru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расположения площадки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412630 Саратовская область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Балтайский</w:t>
            </w:r>
            <w:proofErr w:type="spell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</w:t>
            </w:r>
            <w:proofErr w:type="spell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д.78/б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335,7 </w:t>
            </w:r>
            <w:proofErr w:type="spellStart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владении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землей и зданиями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Близлежащие производственные объекты 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до них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до ближайших жилых домов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 км.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ограждений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</w:t>
            </w:r>
            <w:r w:rsidR="006E3E5D"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E3E5D" w:rsidRPr="006E3E5D" w:rsidTr="006E3E5D">
        <w:tc>
          <w:tcPr>
            <w:tcW w:w="105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Удаленность участка (в км) </w:t>
            </w:r>
            <w:proofErr w:type="gramStart"/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 субъекта РФ, в котором находится площадка центра другого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EE7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 другого ближайшего субъекта РФ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6E3E5D"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 </w:t>
            </w:r>
            <w:proofErr w:type="spellStart"/>
            <w:r w:rsidR="006E3E5D"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="006E3E5D"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="006E3E5D"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енза</w:t>
            </w:r>
            <w:proofErr w:type="spellEnd"/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ближайшего города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EB1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Вольск – </w:t>
            </w:r>
            <w:r w:rsidR="00EB1D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автодороги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железной дороги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EB1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арнуковка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EB1D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км., </w:t>
            </w:r>
            <w:proofErr w:type="spellStart"/>
            <w:r w:rsidR="00EB1D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ст.Высотная</w:t>
            </w:r>
            <w:proofErr w:type="spellEnd"/>
            <w:r w:rsidR="00EB1D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-12</w:t>
            </w: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ст.Карабулак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EB1D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Речного порта, пристани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EB1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B1D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bookmarkStart w:id="0" w:name="_GoBack"/>
            <w:bookmarkEnd w:id="0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</w:tr>
    </w:tbl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Характеристика  инфраструктуры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1108"/>
        <w:gridCol w:w="1581"/>
        <w:gridCol w:w="2375"/>
        <w:gridCol w:w="1729"/>
      </w:tblGrid>
      <w:tr w:rsidR="006E3E5D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до ближайшей точки  подключения (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³/час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6" w:space="0" w:color="E6E6E6"/>
              <w:left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отсутствует, но возможность подключения имеется</w:t>
            </w: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/>
            <w:tcBorders>
              <w:left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/>
            <w:tcBorders>
              <w:left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/>
            <w:tcBorders>
              <w:left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³/год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/>
            <w:tcBorders>
              <w:left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³/год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/>
            <w:tcBorders>
              <w:left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³/год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/>
            <w:tcBorders>
              <w:left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7125" w:rsidRPr="006E3E5D" w:rsidTr="00EE7125">
        <w:tc>
          <w:tcPr>
            <w:tcW w:w="271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Котельные  установки</w:t>
            </w:r>
          </w:p>
        </w:tc>
        <w:tc>
          <w:tcPr>
            <w:tcW w:w="11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27356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E7125" w:rsidRPr="006E3E5D" w:rsidRDefault="00EE7125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Основные параметры  зданий и сооружений, расположенных на площадке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1276"/>
        <w:gridCol w:w="1134"/>
        <w:gridCol w:w="992"/>
        <w:gridCol w:w="1599"/>
        <w:gridCol w:w="952"/>
        <w:gridCol w:w="1701"/>
      </w:tblGrid>
      <w:tr w:rsidR="006E3E5D" w:rsidRPr="006E3E5D" w:rsidTr="00EB1DDF">
        <w:tc>
          <w:tcPr>
            <w:tcW w:w="2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высота этажа</w:t>
            </w:r>
          </w:p>
        </w:tc>
        <w:tc>
          <w:tcPr>
            <w:tcW w:w="15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9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Износ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расширения</w:t>
            </w:r>
          </w:p>
        </w:tc>
      </w:tr>
      <w:tr w:rsidR="006E3E5D" w:rsidRPr="006E3E5D" w:rsidTr="00EB1DDF">
        <w:tc>
          <w:tcPr>
            <w:tcW w:w="2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3E5D" w:rsidRPr="006E3E5D" w:rsidTr="00EB1DDF">
        <w:tc>
          <w:tcPr>
            <w:tcW w:w="2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EB1DDF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</w:tbl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E96D78" w:rsidRPr="00E96D78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Предложения по использованию площадки: </w:t>
      </w:r>
      <w:r w:rsidR="00E96D78" w:rsidRPr="00E96D78">
        <w:rPr>
          <w:rFonts w:ascii="Arial" w:eastAsia="Times New Roman" w:hAnsi="Arial" w:cs="Arial"/>
          <w:bCs/>
          <w:i/>
          <w:color w:val="444444"/>
          <w:sz w:val="18"/>
          <w:szCs w:val="18"/>
          <w:lang w:eastAsia="ru-RU"/>
        </w:rPr>
        <w:t>Данный объект может использоваться в сфере бытового обслуживани</w:t>
      </w:r>
      <w:r w:rsidR="007C4EAC">
        <w:rPr>
          <w:rFonts w:ascii="Arial" w:eastAsia="Times New Roman" w:hAnsi="Arial" w:cs="Arial"/>
          <w:bCs/>
          <w:i/>
          <w:color w:val="444444"/>
          <w:sz w:val="18"/>
          <w:szCs w:val="18"/>
          <w:lang w:eastAsia="ru-RU"/>
        </w:rPr>
        <w:t xml:space="preserve">я (баня, бассейн, фитнес-клуб)/ </w:t>
      </w:r>
      <w:r w:rsidR="00E96D78" w:rsidRPr="00E96D78">
        <w:rPr>
          <w:rFonts w:ascii="Arial" w:eastAsia="Times New Roman" w:hAnsi="Arial" w:cs="Arial"/>
          <w:bCs/>
          <w:i/>
          <w:color w:val="444444"/>
          <w:sz w:val="18"/>
          <w:szCs w:val="18"/>
          <w:lang w:eastAsia="ru-RU"/>
        </w:rPr>
        <w:t>развлекательного центра для детей</w:t>
      </w:r>
    </w:p>
    <w:p w:rsidR="006E3E5D" w:rsidRPr="006E3E5D" w:rsidRDefault="00E96D78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</w:t>
      </w:r>
      <w:r w:rsidR="006E3E5D" w:rsidRPr="006E3E5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Дополнительная  информация о площадке: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476186" w:rsidRDefault="006E3E5D" w:rsidP="006E3E5D">
      <w:r w:rsidRPr="006E3E5D">
        <w:rPr>
          <w:rFonts w:ascii="Tahoma" w:eastAsia="Times New Roman" w:hAnsi="Tahoma" w:cs="Tahoma"/>
          <w:color w:val="444444"/>
          <w:sz w:val="18"/>
          <w:szCs w:val="18"/>
          <w:shd w:val="clear" w:color="auto" w:fill="E3E3E3"/>
          <w:lang w:eastAsia="ru-RU"/>
        </w:rPr>
        <w:t>﻿</w:t>
      </w:r>
    </w:p>
    <w:sectPr w:rsidR="0047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29"/>
    <w:rsid w:val="0027356D"/>
    <w:rsid w:val="003D4F29"/>
    <w:rsid w:val="00476186"/>
    <w:rsid w:val="006E3E5D"/>
    <w:rsid w:val="007C4EAC"/>
    <w:rsid w:val="00E96D78"/>
    <w:rsid w:val="00EB1DDF"/>
    <w:rsid w:val="00E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889">
          <w:marLeft w:val="0"/>
          <w:marRight w:val="0"/>
          <w:marTop w:val="0"/>
          <w:marBottom w:val="150"/>
          <w:divBdr>
            <w:top w:val="single" w:sz="6" w:space="11" w:color="D8D8D8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314048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2025-07-04T09:09:00Z</dcterms:created>
  <dcterms:modified xsi:type="dcterms:W3CDTF">2025-07-04T09:25:00Z</dcterms:modified>
</cp:coreProperties>
</file>