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6657F7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="00396242" w:rsidRPr="00095FCD">
              <w:rPr>
                <w:sz w:val="24"/>
                <w:szCs w:val="24"/>
              </w:rPr>
              <w:br/>
            </w:r>
            <w:r w:rsidRPr="00095FCD">
              <w:rPr>
                <w:sz w:val="24"/>
                <w:szCs w:val="24"/>
              </w:rPr>
              <w:t>№ 428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095FCD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095FCD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0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095FCD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8F4054" w:rsidP="008F4054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</w:t>
            </w:r>
            <w:r w:rsidR="002C58B0" w:rsidRPr="00095FCD">
              <w:rPr>
                <w:rStyle w:val="blk"/>
                <w:color w:val="000000"/>
                <w:sz w:val="24"/>
                <w:szCs w:val="24"/>
              </w:rPr>
              <w:t xml:space="preserve">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получателям средств федерального бюджета и ФБУ нельзя покупать с предоплатой.</w:t>
            </w:r>
          </w:p>
          <w:p w:rsidR="00597323" w:rsidRPr="00095FCD" w:rsidRDefault="008F4054" w:rsidP="002C58B0">
            <w:pPr>
              <w:spacing w:line="288" w:lineRule="atLeast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="00597323"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850C3" w:rsidRPr="00095FCD" w:rsidTr="00890651">
        <w:trPr>
          <w:trHeight w:val="183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095FCD">
              <w:rPr>
                <w:sz w:val="24"/>
                <w:szCs w:val="24"/>
              </w:rPr>
              <w:t>в течение</w:t>
            </w:r>
            <w:r w:rsidRPr="00095FCD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095FCD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095FCD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436951" w:rsidRPr="00095FCD" w:rsidTr="00D65F20">
        <w:trPr>
          <w:trHeight w:val="284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</w:t>
            </w:r>
            <w:r w:rsidR="00B10BD8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095FCD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095FCD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</w:t>
            </w:r>
            <w:r w:rsidR="005A21AB" w:rsidRPr="00095FCD">
              <w:rPr>
                <w:color w:val="2B2B2B"/>
                <w:sz w:val="24"/>
                <w:szCs w:val="24"/>
                <w:shd w:val="clear" w:color="auto" w:fill="FFFFFF"/>
              </w:rPr>
              <w:t>мая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</w:tr>
      <w:tr w:rsidR="00D03242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095FCD" w:rsidRDefault="000E2782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095FCD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095FCD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="00095FCD"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D1F32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547622" w:rsidRPr="00095FCD" w:rsidRDefault="002D4FA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547622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547622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547622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547622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547622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547622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D1F32" w:rsidRPr="00095FCD" w:rsidRDefault="002D4FA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547622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547622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547622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D1F32" w:rsidRPr="00095FCD" w:rsidRDefault="008F4054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D1F32" w:rsidRPr="00095FCD" w:rsidRDefault="008F405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547622" w:rsidRPr="00095FCD" w:rsidRDefault="0054762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9979A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9979A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450A50">
        <w:trPr>
          <w:trHeight w:val="1106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095FCD" w:rsidRPr="00095FCD">
              <w:rPr>
                <w:rStyle w:val="apple-converted-space"/>
                <w:sz w:val="24"/>
                <w:szCs w:val="24"/>
              </w:rPr>
              <w:t>будет</w:t>
            </w:r>
            <w:r w:rsidR="00095FCD"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="00095FCD"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7D1F32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D1F32" w:rsidRPr="00095FCD" w:rsidRDefault="007D1F32" w:rsidP="007D1F32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9979A0" w:rsidRPr="00095FCD" w:rsidRDefault="009979A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- 2%.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9979A0" w:rsidRPr="00095FCD" w:rsidRDefault="002C58B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</w:t>
            </w:r>
            <w:r w:rsidR="00450A50" w:rsidRPr="00095FCD">
              <w:rPr>
                <w:color w:val="000000"/>
                <w:sz w:val="24"/>
                <w:szCs w:val="24"/>
                <w:shd w:val="clear" w:color="auto" w:fill="FFFFFF"/>
              </w:rPr>
              <w:t xml:space="preserve"> до апреля 2021 года</w:t>
            </w:r>
          </w:p>
        </w:tc>
        <w:tc>
          <w:tcPr>
            <w:tcW w:w="2518" w:type="dxa"/>
          </w:tcPr>
          <w:p w:rsidR="009979A0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450A50" w:rsidRPr="00095FCD" w:rsidRDefault="00450A50" w:rsidP="00450A50">
            <w:pPr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0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</w:t>
        </w:r>
        <w:proofErr w:type="gramStart"/>
        <w:r w:rsidRPr="005A21AB">
          <w:rPr>
            <w:rFonts w:eastAsia="PT Sans"/>
            <w:i/>
            <w:iCs/>
            <w:u w:val="single"/>
          </w:rPr>
          <w:t>.р</w:t>
        </w:r>
        <w:proofErr w:type="gramEnd"/>
        <w:r w:rsidRPr="005A21AB">
          <w:rPr>
            <w:rFonts w:eastAsia="PT Sans"/>
            <w:i/>
            <w:iCs/>
            <w:u w:val="single"/>
          </w:rPr>
          <w:t>ф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proofErr w:type="spellStart"/>
      <w:r w:rsidRPr="005A21AB">
        <w:rPr>
          <w:rFonts w:eastAsia="PT Sans"/>
          <w:i/>
          <w:iCs/>
        </w:rPr>
        <w:t>www.rospotrebnadzor.ru</w:t>
      </w:r>
      <w:proofErr w:type="spellEnd"/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</w:t>
            </w:r>
            <w:proofErr w:type="spell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</w:t>
            </w:r>
            <w:proofErr w:type="spellStart"/>
            <w:r w:rsidRPr="00C22C7B">
              <w:rPr>
                <w:sz w:val="24"/>
                <w:szCs w:val="24"/>
              </w:rPr>
              <w:t>он-лайн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D4FA2"/>
    <w:rsid w:val="002E2F1D"/>
    <w:rsid w:val="002E63A7"/>
    <w:rsid w:val="002E6909"/>
    <w:rsid w:val="0030438C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B2005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1849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62376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0" Type="http://schemas.openxmlformats.org/officeDocument/2006/relationships/hyperlink" Target="http://www.tpprf.ru/ru/news/otkrytie-goryachey-linii-dlya-predprinimateley-i350961/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7D0E-D323-4F69-8709-7869E68D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81</cp:revision>
  <dcterms:created xsi:type="dcterms:W3CDTF">2020-04-15T14:20:00Z</dcterms:created>
  <dcterms:modified xsi:type="dcterms:W3CDTF">2020-05-15T12:14:00Z</dcterms:modified>
</cp:coreProperties>
</file>